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B991ED">
      <w:pPr>
        <w:widowControl/>
        <w:ind w:firstLine="0" w:firstLineChars="0"/>
        <w:jc w:val="left"/>
        <w:rPr>
          <w:rFonts w:ascii="宋体" w:hAnsi="宋体" w:cs="Times New Roman"/>
          <w:b/>
          <w:sz w:val="48"/>
          <w:szCs w:val="48"/>
        </w:rPr>
      </w:pPr>
      <w:bookmarkStart w:id="0" w:name="_top"/>
      <w:bookmarkEnd w:id="0"/>
    </w:p>
    <w:p w14:paraId="58EF708A">
      <w:pPr>
        <w:widowControl/>
        <w:ind w:firstLine="0" w:firstLineChars="0"/>
        <w:jc w:val="center"/>
        <w:rPr>
          <w:rFonts w:ascii="黑体" w:hAnsi="黑体" w:eastAsia="黑体" w:cs="Times New Roman"/>
          <w:b/>
          <w:sz w:val="48"/>
          <w:szCs w:val="48"/>
        </w:rPr>
      </w:pPr>
    </w:p>
    <w:p w14:paraId="06F1BAA4">
      <w:pPr>
        <w:widowControl/>
        <w:ind w:firstLine="0" w:firstLineChars="0"/>
        <w:jc w:val="center"/>
        <w:rPr>
          <w:rFonts w:hint="eastAsia" w:ascii="黑体" w:hAnsi="黑体" w:eastAsia="黑体" w:cs="Times New Roman"/>
          <w:b/>
          <w:sz w:val="56"/>
          <w:szCs w:val="56"/>
          <w:u w:val="single"/>
          <w:lang w:eastAsia="zh-CN"/>
        </w:rPr>
      </w:pPr>
      <w:r>
        <w:rPr>
          <w:rFonts w:hint="eastAsia" w:ascii="黑体" w:hAnsi="黑体" w:eastAsia="黑体" w:cs="Times New Roman"/>
          <w:b/>
          <w:sz w:val="56"/>
          <w:szCs w:val="56"/>
          <w:u w:val="single"/>
          <w:lang w:eastAsia="zh-CN"/>
        </w:rPr>
        <w:t>广州空港经济区拆迁安置区（花东安置区）教育配套设施建设项目</w:t>
      </w:r>
    </w:p>
    <w:p w14:paraId="5EA93D0F">
      <w:pPr>
        <w:widowControl/>
        <w:ind w:firstLine="0" w:firstLineChars="0"/>
        <w:jc w:val="center"/>
        <w:rPr>
          <w:rFonts w:hint="default" w:ascii="宋体" w:hAnsi="宋体" w:eastAsia="宋体" w:cs="Times New Roman"/>
          <w:b/>
          <w:sz w:val="48"/>
          <w:szCs w:val="48"/>
          <w:lang w:val="en-US" w:eastAsia="zh-CN"/>
        </w:rPr>
      </w:pPr>
      <w:r>
        <w:rPr>
          <w:rFonts w:hint="eastAsia" w:ascii="宋体" w:hAnsi="宋体" w:cs="Times New Roman"/>
          <w:b/>
          <w:sz w:val="72"/>
          <w:szCs w:val="72"/>
          <w:lang w:val="en-US" w:eastAsia="zh-CN"/>
        </w:rPr>
        <w:t>施工图</w:t>
      </w:r>
    </w:p>
    <w:p w14:paraId="7921F54A">
      <w:pPr>
        <w:widowControl/>
        <w:ind w:firstLine="0" w:firstLineChars="0"/>
        <w:jc w:val="center"/>
        <w:rPr>
          <w:rFonts w:ascii="宋体" w:hAnsi="宋体" w:cs="Times New Roman"/>
          <w:b/>
          <w:sz w:val="48"/>
          <w:szCs w:val="48"/>
        </w:rPr>
      </w:pPr>
    </w:p>
    <w:p w14:paraId="767C6DA5">
      <w:pPr>
        <w:widowControl/>
        <w:ind w:firstLine="0" w:firstLineChars="0"/>
        <w:jc w:val="center"/>
        <w:rPr>
          <w:rFonts w:ascii="宋体" w:hAnsi="宋体" w:cs="Times New Roman"/>
          <w:b/>
          <w:sz w:val="48"/>
          <w:szCs w:val="48"/>
        </w:rPr>
      </w:pPr>
    </w:p>
    <w:p w14:paraId="398DE295">
      <w:pPr>
        <w:widowControl/>
        <w:ind w:firstLine="0" w:firstLineChars="0"/>
        <w:jc w:val="center"/>
        <w:rPr>
          <w:rFonts w:ascii="宋体" w:hAnsi="宋体" w:cs="Times New Roman"/>
          <w:b/>
          <w:sz w:val="48"/>
          <w:szCs w:val="48"/>
        </w:rPr>
      </w:pPr>
    </w:p>
    <w:p w14:paraId="7252339D">
      <w:pPr>
        <w:widowControl/>
        <w:ind w:firstLine="0" w:firstLineChars="0"/>
        <w:jc w:val="center"/>
        <w:rPr>
          <w:rFonts w:ascii="宋体" w:hAnsi="宋体" w:cs="Times New Roman"/>
          <w:b/>
          <w:sz w:val="48"/>
          <w:szCs w:val="48"/>
        </w:rPr>
      </w:pPr>
      <w:r>
        <w:rPr>
          <w:rFonts w:hint="eastAsia" w:ascii="宋体" w:hAnsi="宋体" w:cs="Times New Roman"/>
          <w:b/>
          <w:sz w:val="48"/>
          <w:szCs w:val="48"/>
        </w:rPr>
        <w:t>工程编号:202308079A</w:t>
      </w:r>
    </w:p>
    <w:p w14:paraId="03986F23">
      <w:pPr>
        <w:widowControl/>
        <w:ind w:firstLine="0" w:firstLineChars="0"/>
        <w:jc w:val="center"/>
        <w:rPr>
          <w:rFonts w:ascii="宋体" w:hAnsi="宋体" w:cs="Times New Roman"/>
          <w:b/>
          <w:sz w:val="48"/>
          <w:szCs w:val="48"/>
        </w:rPr>
      </w:pPr>
      <w:r>
        <w:rPr>
          <w:rFonts w:hint="eastAsia" w:ascii="宋体" w:hAnsi="宋体" w:cs="Times New Roman"/>
          <w:b/>
          <w:sz w:val="48"/>
          <w:szCs w:val="48"/>
        </w:rPr>
        <w:t>第一册:</w:t>
      </w:r>
      <w:r>
        <w:rPr>
          <w:rFonts w:hint="eastAsia" w:ascii="宋体" w:hAnsi="宋体" w:cs="Times New Roman"/>
          <w:b/>
          <w:sz w:val="48"/>
          <w:szCs w:val="48"/>
          <w:lang w:val="en-US" w:eastAsia="zh-CN"/>
        </w:rPr>
        <w:t>市政</w:t>
      </w:r>
      <w:r>
        <w:rPr>
          <w:rFonts w:hint="eastAsia" w:ascii="宋体" w:hAnsi="宋体" w:cs="Times New Roman"/>
          <w:b/>
          <w:sz w:val="48"/>
          <w:szCs w:val="48"/>
        </w:rPr>
        <w:t>道路工程</w:t>
      </w:r>
    </w:p>
    <w:p w14:paraId="30CAB98D">
      <w:pPr>
        <w:widowControl/>
        <w:ind w:firstLine="0" w:firstLineChars="0"/>
        <w:jc w:val="center"/>
        <w:rPr>
          <w:rFonts w:ascii="宋体" w:hAnsi="宋体" w:cs="Times New Roman"/>
          <w:b/>
          <w:sz w:val="48"/>
          <w:szCs w:val="48"/>
        </w:rPr>
      </w:pPr>
      <w:r>
        <w:rPr>
          <w:rFonts w:hint="eastAsia" w:ascii="宋体" w:hAnsi="宋体" w:cs="Times New Roman"/>
          <w:b/>
          <w:sz w:val="48"/>
          <w:szCs w:val="48"/>
        </w:rPr>
        <w:t>共</w:t>
      </w:r>
      <w:r>
        <w:rPr>
          <w:rFonts w:hint="eastAsia" w:ascii="宋体" w:hAnsi="宋体" w:cs="Times New Roman"/>
          <w:b/>
          <w:sz w:val="48"/>
          <w:szCs w:val="48"/>
          <w:lang w:val="en-US" w:eastAsia="zh-CN"/>
        </w:rPr>
        <w:t>八</w:t>
      </w:r>
      <w:r>
        <w:rPr>
          <w:rFonts w:hint="eastAsia" w:ascii="宋体" w:hAnsi="宋体" w:cs="Times New Roman"/>
          <w:b/>
          <w:sz w:val="48"/>
          <w:szCs w:val="48"/>
        </w:rPr>
        <w:t>册</w:t>
      </w:r>
    </w:p>
    <w:p w14:paraId="78318B71">
      <w:pPr>
        <w:widowControl/>
        <w:ind w:firstLine="0" w:firstLineChars="0"/>
        <w:jc w:val="center"/>
        <w:rPr>
          <w:rFonts w:ascii="宋体" w:hAnsi="宋体" w:cs="Times New Roman"/>
          <w:b/>
          <w:sz w:val="48"/>
          <w:szCs w:val="48"/>
        </w:rPr>
      </w:pPr>
    </w:p>
    <w:p w14:paraId="0172899D">
      <w:pPr>
        <w:widowControl/>
        <w:ind w:firstLine="0" w:firstLineChars="0"/>
        <w:jc w:val="center"/>
        <w:rPr>
          <w:rFonts w:ascii="宋体" w:hAnsi="宋体" w:cs="Times New Roman"/>
          <w:b/>
          <w:sz w:val="48"/>
          <w:szCs w:val="48"/>
        </w:rPr>
      </w:pPr>
    </w:p>
    <w:p w14:paraId="40EC96C8">
      <w:pPr>
        <w:widowControl/>
        <w:ind w:firstLine="0" w:firstLineChars="0"/>
        <w:jc w:val="center"/>
        <w:rPr>
          <w:rFonts w:ascii="宋体" w:hAnsi="宋体" w:cs="Times New Roman"/>
          <w:b/>
          <w:sz w:val="48"/>
          <w:szCs w:val="48"/>
        </w:rPr>
      </w:pPr>
    </w:p>
    <w:p w14:paraId="1DF7D01B">
      <w:pPr>
        <w:widowControl/>
        <w:ind w:firstLine="0" w:firstLineChars="0"/>
        <w:jc w:val="left"/>
        <w:rPr>
          <w:rFonts w:ascii="宋体" w:hAnsi="宋体" w:cs="Times New Roman"/>
          <w:b/>
          <w:sz w:val="48"/>
          <w:szCs w:val="48"/>
        </w:rPr>
      </w:pPr>
    </w:p>
    <w:p w14:paraId="1BABD289">
      <w:pPr>
        <w:widowControl/>
        <w:ind w:firstLine="0" w:firstLineChars="0"/>
        <w:jc w:val="center"/>
        <w:rPr>
          <w:rFonts w:ascii="宋体" w:hAnsi="宋体" w:cs="Times New Roman"/>
          <w:b/>
          <w:sz w:val="48"/>
          <w:szCs w:val="48"/>
        </w:rPr>
      </w:pPr>
      <w:r>
        <w:drawing>
          <wp:inline distT="0" distB="0" distL="114300" distR="114300">
            <wp:extent cx="5400040" cy="1143000"/>
            <wp:effectExtent l="0" t="0" r="1016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9"/>
                    <a:stretch>
                      <a:fillRect/>
                    </a:stretch>
                  </pic:blipFill>
                  <pic:spPr>
                    <a:xfrm>
                      <a:off x="0" y="0"/>
                      <a:ext cx="5400040" cy="1143000"/>
                    </a:xfrm>
                    <a:prstGeom prst="rect">
                      <a:avLst/>
                    </a:prstGeom>
                    <a:noFill/>
                    <a:ln>
                      <a:noFill/>
                    </a:ln>
                  </pic:spPr>
                </pic:pic>
              </a:graphicData>
            </a:graphic>
          </wp:inline>
        </w:drawing>
      </w:r>
    </w:p>
    <w:p w14:paraId="2801C65E">
      <w:pPr>
        <w:widowControl/>
        <w:ind w:firstLine="0" w:firstLineChars="0"/>
        <w:jc w:val="center"/>
        <w:rPr>
          <w:rFonts w:ascii="宋体" w:hAnsi="宋体" w:cs="Times New Roman"/>
          <w:b/>
          <w:sz w:val="32"/>
          <w:szCs w:val="32"/>
        </w:rPr>
      </w:pPr>
    </w:p>
    <w:p w14:paraId="66360283">
      <w:pPr>
        <w:widowControl/>
        <w:ind w:firstLine="0" w:firstLineChars="0"/>
        <w:jc w:val="center"/>
        <w:rPr>
          <w:rFonts w:hint="default" w:ascii="宋体" w:hAnsi="宋体" w:eastAsia="宋体" w:cs="Times New Roman"/>
          <w:b/>
          <w:sz w:val="32"/>
          <w:szCs w:val="32"/>
          <w:lang w:val="en-US" w:eastAsia="zh-CN"/>
        </w:rPr>
      </w:pPr>
      <w:r>
        <w:rPr>
          <w:rFonts w:ascii="宋体" w:hAnsi="宋体" w:cs="Times New Roman"/>
          <w:b/>
          <w:sz w:val="32"/>
          <w:szCs w:val="32"/>
        </w:rPr>
        <w:t>202</w:t>
      </w:r>
      <w:r>
        <w:rPr>
          <w:rFonts w:hint="eastAsia" w:ascii="宋体" w:hAnsi="宋体" w:cs="Times New Roman"/>
          <w:b/>
          <w:sz w:val="32"/>
          <w:szCs w:val="32"/>
          <w:lang w:val="en-US" w:eastAsia="zh-CN"/>
        </w:rPr>
        <w:t>5</w:t>
      </w:r>
      <w:r>
        <w:rPr>
          <w:rFonts w:ascii="宋体" w:hAnsi="宋体" w:cs="Times New Roman"/>
          <w:b/>
          <w:sz w:val="32"/>
          <w:szCs w:val="32"/>
        </w:rPr>
        <w:t>-</w:t>
      </w:r>
      <w:r>
        <w:rPr>
          <w:rFonts w:hint="eastAsia" w:ascii="宋体" w:hAnsi="宋体" w:cs="Times New Roman"/>
          <w:b/>
          <w:sz w:val="32"/>
          <w:szCs w:val="32"/>
          <w:lang w:val="en-US" w:eastAsia="zh-CN"/>
        </w:rPr>
        <w:t>03</w:t>
      </w:r>
    </w:p>
    <w:p w14:paraId="343A12E0">
      <w:pPr>
        <w:widowControl/>
        <w:ind w:firstLine="0" w:firstLineChars="0"/>
        <w:jc w:val="left"/>
        <w:rPr>
          <w:rFonts w:ascii="宋体" w:hAnsi="宋体" w:cs="Times New Roman"/>
          <w:b/>
          <w:sz w:val="48"/>
          <w:szCs w:val="48"/>
        </w:rPr>
      </w:pPr>
      <w:r>
        <w:rPr>
          <w:rFonts w:ascii="黑体" w:hAnsi="Calibri" w:eastAsia="黑体" w:cs="Times New Roman"/>
          <w:b/>
          <w:sz w:val="48"/>
          <w:szCs w:val="48"/>
        </w:rPr>
        <w:br w:type="page"/>
      </w:r>
    </w:p>
    <w:p w14:paraId="32F2E57B">
      <w:pPr>
        <w:widowControl/>
        <w:ind w:firstLine="0" w:firstLineChars="0"/>
        <w:jc w:val="center"/>
        <w:rPr>
          <w:rFonts w:ascii="黑体" w:hAnsi="黑体" w:eastAsia="黑体" w:cs="Times New Roman"/>
          <w:b/>
          <w:sz w:val="48"/>
          <w:szCs w:val="48"/>
        </w:rPr>
      </w:pPr>
    </w:p>
    <w:p w14:paraId="2B5A6BD0">
      <w:pPr>
        <w:widowControl/>
        <w:ind w:firstLine="0" w:firstLineChars="0"/>
        <w:jc w:val="center"/>
        <w:rPr>
          <w:rFonts w:ascii="黑体" w:hAnsi="黑体" w:eastAsia="黑体" w:cs="Times New Roman"/>
          <w:b/>
          <w:sz w:val="48"/>
          <w:szCs w:val="48"/>
        </w:rPr>
      </w:pPr>
    </w:p>
    <w:p w14:paraId="46E6D305">
      <w:pPr>
        <w:widowControl/>
        <w:ind w:firstLine="0" w:firstLineChars="0"/>
        <w:jc w:val="center"/>
        <w:rPr>
          <w:rFonts w:hint="eastAsia" w:ascii="黑体" w:hAnsi="黑体" w:eastAsia="黑体" w:cs="Times New Roman"/>
          <w:b/>
          <w:sz w:val="56"/>
          <w:szCs w:val="56"/>
          <w:u w:val="single"/>
          <w:lang w:eastAsia="zh-CN"/>
        </w:rPr>
      </w:pPr>
      <w:r>
        <w:rPr>
          <w:rFonts w:hint="eastAsia" w:ascii="黑体" w:hAnsi="黑体" w:eastAsia="黑体" w:cs="Times New Roman"/>
          <w:b/>
          <w:sz w:val="56"/>
          <w:szCs w:val="56"/>
          <w:u w:val="single"/>
          <w:lang w:eastAsia="zh-CN"/>
        </w:rPr>
        <w:t>广州空港经济区拆迁安置区（花东安置区）教育配套设施建设项目</w:t>
      </w:r>
    </w:p>
    <w:p w14:paraId="32DC7A92">
      <w:pPr>
        <w:widowControl/>
        <w:ind w:firstLine="0" w:firstLineChars="0"/>
        <w:jc w:val="center"/>
        <w:rPr>
          <w:rFonts w:hint="default" w:ascii="宋体" w:hAnsi="宋体" w:eastAsia="宋体" w:cs="Times New Roman"/>
          <w:b/>
          <w:sz w:val="48"/>
          <w:szCs w:val="48"/>
          <w:lang w:val="en-US" w:eastAsia="zh-CN"/>
        </w:rPr>
      </w:pPr>
      <w:r>
        <w:rPr>
          <w:rFonts w:hint="eastAsia" w:ascii="宋体" w:hAnsi="宋体" w:cs="Times New Roman"/>
          <w:b/>
          <w:sz w:val="72"/>
          <w:szCs w:val="72"/>
          <w:lang w:val="en-US" w:eastAsia="zh-CN"/>
        </w:rPr>
        <w:t>施工图</w:t>
      </w:r>
    </w:p>
    <w:p w14:paraId="520FAEDE">
      <w:pPr>
        <w:widowControl/>
        <w:ind w:firstLine="0" w:firstLineChars="0"/>
        <w:jc w:val="center"/>
        <w:rPr>
          <w:rFonts w:ascii="宋体" w:hAnsi="宋体" w:cs="Times New Roman"/>
          <w:b/>
          <w:sz w:val="48"/>
          <w:szCs w:val="48"/>
        </w:rPr>
      </w:pPr>
    </w:p>
    <w:p w14:paraId="14E18E93">
      <w:pPr>
        <w:widowControl/>
        <w:ind w:firstLine="0" w:firstLineChars="0"/>
        <w:jc w:val="center"/>
        <w:rPr>
          <w:rFonts w:ascii="宋体" w:hAnsi="宋体" w:cs="Times New Roman"/>
          <w:b/>
          <w:sz w:val="48"/>
          <w:szCs w:val="48"/>
        </w:rPr>
      </w:pPr>
    </w:p>
    <w:p w14:paraId="64A7E278">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 xml:space="preserve">审 </w:t>
      </w:r>
      <w:r>
        <w:rPr>
          <w:rFonts w:ascii="宋体" w:hAnsi="宋体" w:cs="Times New Roman"/>
          <w:bCs/>
          <w:sz w:val="36"/>
          <w:szCs w:val="36"/>
        </w:rPr>
        <w:t xml:space="preserve">     </w:t>
      </w:r>
      <w:r>
        <w:rPr>
          <w:rFonts w:hint="eastAsia" w:ascii="宋体" w:hAnsi="宋体" w:cs="Times New Roman"/>
          <w:bCs/>
          <w:sz w:val="36"/>
          <w:szCs w:val="36"/>
        </w:rPr>
        <w:t>定：吴子儒</w:t>
      </w:r>
      <w:r>
        <w:rPr>
          <w:rFonts w:ascii="宋体" w:hAnsi="宋体" w:cs="Times New Roman"/>
          <w:bCs/>
          <w:sz w:val="36"/>
          <w:szCs w:val="36"/>
        </w:rPr>
        <w:t xml:space="preserve">      </w:t>
      </w:r>
    </w:p>
    <w:p w14:paraId="17A7FCB3">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 xml:space="preserve">审 </w:t>
      </w:r>
      <w:r>
        <w:rPr>
          <w:rFonts w:ascii="宋体" w:hAnsi="宋体" w:cs="Times New Roman"/>
          <w:bCs/>
          <w:sz w:val="36"/>
          <w:szCs w:val="36"/>
        </w:rPr>
        <w:t xml:space="preserve">     </w:t>
      </w:r>
      <w:r>
        <w:rPr>
          <w:rFonts w:hint="eastAsia" w:ascii="宋体" w:hAnsi="宋体" w:cs="Times New Roman"/>
          <w:bCs/>
          <w:sz w:val="36"/>
          <w:szCs w:val="36"/>
        </w:rPr>
        <w:t xml:space="preserve">核：李建军 </w:t>
      </w:r>
      <w:r>
        <w:rPr>
          <w:rFonts w:ascii="宋体" w:hAnsi="宋体" w:cs="Times New Roman"/>
          <w:bCs/>
          <w:sz w:val="36"/>
          <w:szCs w:val="36"/>
        </w:rPr>
        <w:t xml:space="preserve">            </w:t>
      </w:r>
    </w:p>
    <w:p w14:paraId="2296101C">
      <w:pPr>
        <w:widowControl/>
        <w:spacing w:line="1000" w:lineRule="exact"/>
        <w:ind w:firstLine="7560" w:firstLineChars="2100"/>
        <w:rPr>
          <w:rFonts w:ascii="宋体" w:hAnsi="宋体" w:cs="Times New Roman"/>
          <w:bCs/>
          <w:sz w:val="36"/>
          <w:szCs w:val="36"/>
        </w:rPr>
      </w:pPr>
      <w:r>
        <w:rPr>
          <w:rFonts w:hint="eastAsia" w:ascii="宋体" w:hAnsi="宋体" w:cs="Times New Roman"/>
          <w:bCs/>
          <w:sz w:val="36"/>
          <w:szCs w:val="36"/>
        </w:rPr>
        <w:t>项目总负责：</w:t>
      </w:r>
      <w:r>
        <w:rPr>
          <w:rFonts w:hint="eastAsia" w:ascii="宋体" w:hAnsi="宋体" w:cs="Times New Roman"/>
          <w:bCs/>
          <w:spacing w:val="360"/>
          <w:kern w:val="0"/>
          <w:sz w:val="36"/>
          <w:szCs w:val="36"/>
          <w:fitText w:val="1080" w:id="1523070635"/>
        </w:rPr>
        <w:t>陈</w:t>
      </w:r>
      <w:r>
        <w:rPr>
          <w:rFonts w:hint="eastAsia" w:ascii="宋体" w:hAnsi="宋体" w:cs="Times New Roman"/>
          <w:bCs/>
          <w:spacing w:val="0"/>
          <w:kern w:val="0"/>
          <w:sz w:val="36"/>
          <w:szCs w:val="36"/>
          <w:fitText w:val="1080" w:id="1523070635"/>
        </w:rPr>
        <w:t>军</w:t>
      </w:r>
      <w:r>
        <w:rPr>
          <w:rFonts w:hint="eastAsia" w:ascii="宋体" w:hAnsi="宋体" w:cs="Times New Roman"/>
          <w:bCs/>
          <w:sz w:val="36"/>
          <w:szCs w:val="36"/>
        </w:rPr>
        <w:t xml:space="preserve"> </w:t>
      </w:r>
      <w:r>
        <w:rPr>
          <w:rFonts w:ascii="宋体" w:hAnsi="宋体" w:cs="Times New Roman"/>
          <w:bCs/>
          <w:sz w:val="36"/>
          <w:szCs w:val="36"/>
        </w:rPr>
        <w:t xml:space="preserve">         </w:t>
      </w:r>
    </w:p>
    <w:p w14:paraId="71F4B4AC">
      <w:pPr>
        <w:widowControl/>
        <w:ind w:firstLine="0" w:firstLineChars="0"/>
        <w:jc w:val="left"/>
        <w:rPr>
          <w:rFonts w:ascii="宋体" w:hAnsi="宋体" w:cs="Times New Roman"/>
          <w:b/>
          <w:sz w:val="48"/>
          <w:szCs w:val="48"/>
        </w:rPr>
      </w:pPr>
    </w:p>
    <w:p w14:paraId="38575B5E">
      <w:pPr>
        <w:widowControl/>
        <w:ind w:firstLine="0" w:firstLineChars="0"/>
        <w:jc w:val="left"/>
        <w:rPr>
          <w:rFonts w:ascii="宋体" w:hAnsi="宋体" w:cs="Times New Roman"/>
          <w:b/>
          <w:sz w:val="48"/>
          <w:szCs w:val="48"/>
        </w:rPr>
      </w:pPr>
    </w:p>
    <w:p w14:paraId="53C414A8">
      <w:pPr>
        <w:widowControl/>
        <w:ind w:firstLine="0" w:firstLineChars="0"/>
        <w:jc w:val="center"/>
        <w:rPr>
          <w:rFonts w:ascii="宋体" w:hAnsi="宋体" w:cs="Times New Roman"/>
          <w:b/>
          <w:bCs/>
          <w:sz w:val="48"/>
          <w:szCs w:val="48"/>
        </w:rPr>
      </w:pPr>
      <w:r>
        <w:drawing>
          <wp:inline distT="0" distB="0" distL="114300" distR="114300">
            <wp:extent cx="5400040" cy="1143000"/>
            <wp:effectExtent l="0" t="0" r="1016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9"/>
                    <a:stretch>
                      <a:fillRect/>
                    </a:stretch>
                  </pic:blipFill>
                  <pic:spPr>
                    <a:xfrm>
                      <a:off x="0" y="0"/>
                      <a:ext cx="5400040" cy="1143000"/>
                    </a:xfrm>
                    <a:prstGeom prst="rect">
                      <a:avLst/>
                    </a:prstGeom>
                    <a:noFill/>
                    <a:ln>
                      <a:noFill/>
                    </a:ln>
                  </pic:spPr>
                </pic:pic>
              </a:graphicData>
            </a:graphic>
          </wp:inline>
        </w:drawing>
      </w:r>
    </w:p>
    <w:p w14:paraId="245959B5">
      <w:pPr>
        <w:widowControl/>
        <w:ind w:firstLine="0" w:firstLineChars="0"/>
        <w:jc w:val="center"/>
        <w:rPr>
          <w:rFonts w:ascii="宋体" w:hAnsi="宋体" w:cs="Times New Roman"/>
          <w:b/>
          <w:sz w:val="32"/>
          <w:szCs w:val="32"/>
        </w:rPr>
      </w:pPr>
    </w:p>
    <w:p w14:paraId="12D34515">
      <w:pPr>
        <w:widowControl/>
        <w:ind w:firstLine="0" w:firstLineChars="0"/>
        <w:jc w:val="center"/>
        <w:rPr>
          <w:rFonts w:hint="default" w:ascii="宋体" w:hAnsi="宋体" w:eastAsia="宋体" w:cs="Times New Roman"/>
          <w:b/>
          <w:sz w:val="32"/>
          <w:szCs w:val="32"/>
          <w:lang w:val="en-US" w:eastAsia="zh-CN"/>
        </w:rPr>
      </w:pPr>
      <w:r>
        <w:rPr>
          <w:rFonts w:ascii="宋体" w:hAnsi="宋体" w:cs="Times New Roman"/>
          <w:b/>
          <w:sz w:val="32"/>
          <w:szCs w:val="32"/>
        </w:rPr>
        <w:t>202</w:t>
      </w:r>
      <w:r>
        <w:rPr>
          <w:rFonts w:hint="eastAsia" w:ascii="宋体" w:hAnsi="宋体" w:cs="Times New Roman"/>
          <w:b/>
          <w:sz w:val="32"/>
          <w:szCs w:val="32"/>
          <w:lang w:val="en-US" w:eastAsia="zh-CN"/>
        </w:rPr>
        <w:t>5</w:t>
      </w:r>
      <w:r>
        <w:rPr>
          <w:rFonts w:ascii="宋体" w:hAnsi="宋体" w:cs="Times New Roman"/>
          <w:b/>
          <w:sz w:val="32"/>
          <w:szCs w:val="32"/>
        </w:rPr>
        <w:t>-</w:t>
      </w:r>
      <w:r>
        <w:rPr>
          <w:rFonts w:hint="eastAsia" w:ascii="宋体" w:hAnsi="宋体" w:cs="Times New Roman"/>
          <w:b/>
          <w:sz w:val="32"/>
          <w:szCs w:val="32"/>
          <w:lang w:val="en-US" w:eastAsia="zh-CN"/>
        </w:rPr>
        <w:t>03</w:t>
      </w:r>
    </w:p>
    <w:p w14:paraId="680E9B62">
      <w:pPr>
        <w:widowControl/>
        <w:spacing w:line="240" w:lineRule="auto"/>
        <w:ind w:firstLine="0" w:firstLineChars="0"/>
        <w:jc w:val="left"/>
        <w:rPr>
          <w:rFonts w:ascii="黑体" w:hAnsi="Calibri" w:eastAsia="黑体" w:cs="Times New Roman"/>
          <w:b/>
          <w:sz w:val="48"/>
          <w:szCs w:val="48"/>
        </w:rPr>
      </w:pPr>
    </w:p>
    <w:p w14:paraId="44B25C4E">
      <w:pPr>
        <w:ind w:firstLine="0" w:firstLineChars="0"/>
        <w:jc w:val="center"/>
        <w:rPr>
          <w:b/>
          <w:bCs/>
          <w:sz w:val="36"/>
          <w:szCs w:val="36"/>
        </w:rPr>
      </w:pPr>
    </w:p>
    <w:p w14:paraId="24F14D7A">
      <w:pPr>
        <w:ind w:firstLine="0" w:firstLineChars="0"/>
        <w:jc w:val="center"/>
        <w:rPr>
          <w:b/>
          <w:bCs/>
          <w:sz w:val="36"/>
          <w:szCs w:val="36"/>
        </w:rPr>
        <w:sectPr>
          <w:headerReference r:id="rId7" w:type="first"/>
          <w:footerReference r:id="rId10" w:type="first"/>
          <w:headerReference r:id="rId5" w:type="default"/>
          <w:footerReference r:id="rId8" w:type="default"/>
          <w:headerReference r:id="rId6" w:type="even"/>
          <w:footerReference r:id="rId9" w:type="even"/>
          <w:pgSz w:w="23811" w:h="16838" w:orient="landscape"/>
          <w:pgMar w:top="1418" w:right="1440" w:bottom="1134" w:left="1440" w:header="680" w:footer="737" w:gutter="0"/>
          <w:cols w:space="1201" w:num="1"/>
          <w:docGrid w:type="lines" w:linePitch="326" w:charSpace="0"/>
        </w:sectPr>
      </w:pPr>
    </w:p>
    <w:sdt>
      <w:sdtPr>
        <w:rPr>
          <w:rFonts w:ascii="Times New Roman" w:hAnsi="Times New Roman" w:eastAsia="宋体" w:cstheme="minorBidi"/>
          <w:color w:val="auto"/>
          <w:kern w:val="2"/>
          <w:sz w:val="24"/>
          <w:szCs w:val="22"/>
          <w:lang w:val="zh-CN"/>
        </w:rPr>
        <w:id w:val="-2100085999"/>
        <w:docPartObj>
          <w:docPartGallery w:val="Table of Contents"/>
          <w:docPartUnique/>
        </w:docPartObj>
      </w:sdtPr>
      <w:sdtEndPr>
        <w:rPr>
          <w:rFonts w:ascii="Times New Roman" w:hAnsi="Times New Roman" w:eastAsia="宋体" w:cstheme="minorBidi"/>
          <w:b/>
          <w:bCs/>
          <w:color w:val="auto"/>
          <w:kern w:val="2"/>
          <w:sz w:val="24"/>
          <w:szCs w:val="22"/>
          <w:lang w:val="zh-CN"/>
        </w:rPr>
      </w:sdtEndPr>
      <w:sdtContent>
        <w:p w14:paraId="5819DD68">
          <w:pPr>
            <w:pStyle w:val="103"/>
            <w:spacing w:before="163" w:after="163"/>
            <w:ind w:firstLine="480"/>
            <w:jc w:val="center"/>
            <w:rPr>
              <w:rFonts w:asciiTheme="majorEastAsia" w:hAnsiTheme="majorEastAsia"/>
              <w:color w:val="4472C4" w:themeColor="accent1"/>
            </w:rPr>
          </w:pPr>
          <w:r>
            <w:rPr>
              <w:rFonts w:asciiTheme="majorEastAsia" w:hAnsiTheme="majorEastAsia"/>
              <w:color w:val="4472C4" w:themeColor="accent1"/>
              <w:lang w:val="zh-CN"/>
            </w:rPr>
            <w:t>目录</w:t>
          </w:r>
        </w:p>
        <w:p w14:paraId="5679FE03">
          <w:pPr>
            <w:pStyle w:val="59"/>
            <w:tabs>
              <w:tab w:val="right" w:leader="dot" w:pos="9865"/>
            </w:tabs>
          </w:pPr>
          <w:r>
            <w:fldChar w:fldCharType="begin"/>
          </w:r>
          <w:r>
            <w:instrText xml:space="preserve"> TOC \o "1-3" \h \z \u </w:instrText>
          </w:r>
          <w:r>
            <w:fldChar w:fldCharType="separate"/>
          </w:r>
          <w:r>
            <w:fldChar w:fldCharType="begin"/>
          </w:r>
          <w:r>
            <w:instrText xml:space="preserve"> HYPERLINK \l _Toc18457 </w:instrText>
          </w:r>
          <w:r>
            <w:fldChar w:fldCharType="separate"/>
          </w:r>
          <w:r>
            <w:rPr>
              <w:rFonts w:hint="eastAsia"/>
            </w:rPr>
            <w:t>第一章 概述</w:t>
          </w:r>
          <w:r>
            <w:tab/>
          </w:r>
          <w:r>
            <w:fldChar w:fldCharType="begin"/>
          </w:r>
          <w:r>
            <w:instrText xml:space="preserve"> PAGEREF _Toc18457 \h </w:instrText>
          </w:r>
          <w:r>
            <w:fldChar w:fldCharType="separate"/>
          </w:r>
          <w:r>
            <w:t>2</w:t>
          </w:r>
          <w:r>
            <w:fldChar w:fldCharType="end"/>
          </w:r>
          <w:r>
            <w:fldChar w:fldCharType="end"/>
          </w:r>
        </w:p>
        <w:p w14:paraId="60B2326F">
          <w:pPr>
            <w:pStyle w:val="74"/>
            <w:tabs>
              <w:tab w:val="right" w:leader="dot" w:pos="9865"/>
              <w:tab w:val="clear" w:pos="9855"/>
            </w:tabs>
          </w:pPr>
          <w:r>
            <w:rPr>
              <w:bCs/>
              <w:lang w:val="zh-CN"/>
            </w:rPr>
            <w:fldChar w:fldCharType="begin"/>
          </w:r>
          <w:r>
            <w:rPr>
              <w:bCs/>
              <w:lang w:val="zh-CN"/>
            </w:rPr>
            <w:instrText xml:space="preserve"> HYPERLINK \l _Toc24611 </w:instrText>
          </w:r>
          <w:r>
            <w:rPr>
              <w:bCs/>
              <w:lang w:val="zh-CN"/>
            </w:rPr>
            <w:fldChar w:fldCharType="separate"/>
          </w:r>
          <w:r>
            <w:rPr>
              <w:rFonts w:hint="eastAsia"/>
            </w:rPr>
            <w:t>1.1 任务依据</w:t>
          </w:r>
          <w:r>
            <w:tab/>
          </w:r>
          <w:r>
            <w:fldChar w:fldCharType="begin"/>
          </w:r>
          <w:r>
            <w:instrText xml:space="preserve"> PAGEREF _Toc24611 \h </w:instrText>
          </w:r>
          <w:r>
            <w:fldChar w:fldCharType="separate"/>
          </w:r>
          <w:r>
            <w:t>2</w:t>
          </w:r>
          <w:r>
            <w:fldChar w:fldCharType="end"/>
          </w:r>
          <w:r>
            <w:rPr>
              <w:bCs/>
              <w:lang w:val="zh-CN"/>
            </w:rPr>
            <w:fldChar w:fldCharType="end"/>
          </w:r>
        </w:p>
        <w:p w14:paraId="1A75ABF0">
          <w:pPr>
            <w:pStyle w:val="44"/>
            <w:tabs>
              <w:tab w:val="right" w:leader="dot" w:pos="9865"/>
            </w:tabs>
          </w:pPr>
          <w:r>
            <w:rPr>
              <w:bCs/>
              <w:lang w:val="zh-CN"/>
            </w:rPr>
            <w:fldChar w:fldCharType="begin"/>
          </w:r>
          <w:r>
            <w:rPr>
              <w:bCs/>
              <w:lang w:val="zh-CN"/>
            </w:rPr>
            <w:instrText xml:space="preserve"> HYPERLINK \l _Toc13348 </w:instrText>
          </w:r>
          <w:r>
            <w:rPr>
              <w:bCs/>
              <w:lang w:val="zh-CN"/>
            </w:rPr>
            <w:fldChar w:fldCharType="separate"/>
          </w:r>
          <w:r>
            <w:rPr>
              <w:rFonts w:hint="eastAsia"/>
            </w:rPr>
            <w:t>1.1.1 项目概况</w:t>
          </w:r>
          <w:r>
            <w:tab/>
          </w:r>
          <w:r>
            <w:fldChar w:fldCharType="begin"/>
          </w:r>
          <w:r>
            <w:instrText xml:space="preserve"> PAGEREF _Toc13348 \h </w:instrText>
          </w:r>
          <w:r>
            <w:fldChar w:fldCharType="separate"/>
          </w:r>
          <w:r>
            <w:t>2</w:t>
          </w:r>
          <w:r>
            <w:fldChar w:fldCharType="end"/>
          </w:r>
          <w:r>
            <w:rPr>
              <w:bCs/>
              <w:lang w:val="zh-CN"/>
            </w:rPr>
            <w:fldChar w:fldCharType="end"/>
          </w:r>
        </w:p>
        <w:p w14:paraId="3B5F51D0">
          <w:pPr>
            <w:pStyle w:val="44"/>
            <w:tabs>
              <w:tab w:val="right" w:leader="dot" w:pos="9865"/>
            </w:tabs>
          </w:pPr>
          <w:r>
            <w:rPr>
              <w:bCs/>
              <w:lang w:val="zh-CN"/>
            </w:rPr>
            <w:fldChar w:fldCharType="begin"/>
          </w:r>
          <w:r>
            <w:rPr>
              <w:bCs/>
              <w:lang w:val="zh-CN"/>
            </w:rPr>
            <w:instrText xml:space="preserve"> HYPERLINK \l _Toc4789 </w:instrText>
          </w:r>
          <w:r>
            <w:rPr>
              <w:bCs/>
              <w:lang w:val="zh-CN"/>
            </w:rPr>
            <w:fldChar w:fldCharType="separate"/>
          </w:r>
          <w:r>
            <w:rPr>
              <w:rFonts w:hint="eastAsia"/>
            </w:rPr>
            <w:t>1.1.2 编制依据</w:t>
          </w:r>
          <w:r>
            <w:tab/>
          </w:r>
          <w:r>
            <w:fldChar w:fldCharType="begin"/>
          </w:r>
          <w:r>
            <w:instrText xml:space="preserve"> PAGEREF _Toc4789 \h </w:instrText>
          </w:r>
          <w:r>
            <w:fldChar w:fldCharType="separate"/>
          </w:r>
          <w:r>
            <w:t>2</w:t>
          </w:r>
          <w:r>
            <w:fldChar w:fldCharType="end"/>
          </w:r>
          <w:r>
            <w:rPr>
              <w:bCs/>
              <w:lang w:val="zh-CN"/>
            </w:rPr>
            <w:fldChar w:fldCharType="end"/>
          </w:r>
        </w:p>
        <w:p w14:paraId="22BE0133">
          <w:pPr>
            <w:pStyle w:val="44"/>
            <w:tabs>
              <w:tab w:val="right" w:leader="dot" w:pos="9865"/>
            </w:tabs>
          </w:pPr>
          <w:r>
            <w:rPr>
              <w:bCs/>
              <w:lang w:val="zh-CN"/>
            </w:rPr>
            <w:fldChar w:fldCharType="begin"/>
          </w:r>
          <w:r>
            <w:rPr>
              <w:bCs/>
              <w:lang w:val="zh-CN"/>
            </w:rPr>
            <w:instrText xml:space="preserve"> HYPERLINK \l _Toc6776 </w:instrText>
          </w:r>
          <w:r>
            <w:rPr>
              <w:bCs/>
              <w:lang w:val="zh-CN"/>
            </w:rPr>
            <w:fldChar w:fldCharType="separate"/>
          </w:r>
          <w:r>
            <w:rPr>
              <w:rFonts w:hint="eastAsia"/>
            </w:rPr>
            <w:t>1.1.3 主要设计规范</w:t>
          </w:r>
          <w:r>
            <w:tab/>
          </w:r>
          <w:r>
            <w:fldChar w:fldCharType="begin"/>
          </w:r>
          <w:r>
            <w:instrText xml:space="preserve"> PAGEREF _Toc6776 \h </w:instrText>
          </w:r>
          <w:r>
            <w:fldChar w:fldCharType="separate"/>
          </w:r>
          <w:r>
            <w:t>2</w:t>
          </w:r>
          <w:r>
            <w:fldChar w:fldCharType="end"/>
          </w:r>
          <w:r>
            <w:rPr>
              <w:bCs/>
              <w:lang w:val="zh-CN"/>
            </w:rPr>
            <w:fldChar w:fldCharType="end"/>
          </w:r>
        </w:p>
        <w:p w14:paraId="1E616619">
          <w:pPr>
            <w:pStyle w:val="74"/>
            <w:tabs>
              <w:tab w:val="right" w:leader="dot" w:pos="9865"/>
              <w:tab w:val="clear" w:pos="9855"/>
            </w:tabs>
          </w:pPr>
          <w:r>
            <w:rPr>
              <w:bCs/>
              <w:lang w:val="zh-CN"/>
            </w:rPr>
            <w:fldChar w:fldCharType="begin"/>
          </w:r>
          <w:r>
            <w:rPr>
              <w:bCs/>
              <w:lang w:val="zh-CN"/>
            </w:rPr>
            <w:instrText xml:space="preserve"> HYPERLINK \l _Toc16187 </w:instrText>
          </w:r>
          <w:r>
            <w:rPr>
              <w:bCs/>
              <w:lang w:val="zh-CN"/>
            </w:rPr>
            <w:fldChar w:fldCharType="separate"/>
          </w:r>
          <w:r>
            <w:rPr>
              <w:rFonts w:hint="eastAsia"/>
            </w:rPr>
            <w:t>1.2 工程概况</w:t>
          </w:r>
          <w:r>
            <w:tab/>
          </w:r>
          <w:r>
            <w:fldChar w:fldCharType="begin"/>
          </w:r>
          <w:r>
            <w:instrText xml:space="preserve"> PAGEREF _Toc16187 \h </w:instrText>
          </w:r>
          <w:r>
            <w:fldChar w:fldCharType="separate"/>
          </w:r>
          <w:r>
            <w:t>3</w:t>
          </w:r>
          <w:r>
            <w:fldChar w:fldCharType="end"/>
          </w:r>
          <w:r>
            <w:rPr>
              <w:bCs/>
              <w:lang w:val="zh-CN"/>
            </w:rPr>
            <w:fldChar w:fldCharType="end"/>
          </w:r>
        </w:p>
        <w:p w14:paraId="67132DD5">
          <w:pPr>
            <w:pStyle w:val="74"/>
            <w:tabs>
              <w:tab w:val="right" w:leader="dot" w:pos="9865"/>
              <w:tab w:val="clear" w:pos="9855"/>
            </w:tabs>
          </w:pPr>
          <w:r>
            <w:rPr>
              <w:bCs/>
              <w:lang w:val="zh-CN"/>
            </w:rPr>
            <w:fldChar w:fldCharType="begin"/>
          </w:r>
          <w:r>
            <w:rPr>
              <w:bCs/>
              <w:lang w:val="zh-CN"/>
            </w:rPr>
            <w:instrText xml:space="preserve"> HYPERLINK \l _Toc27008 </w:instrText>
          </w:r>
          <w:r>
            <w:rPr>
              <w:bCs/>
              <w:lang w:val="zh-CN"/>
            </w:rPr>
            <w:fldChar w:fldCharType="separate"/>
          </w:r>
          <w:r>
            <w:rPr>
              <w:rFonts w:hint="eastAsia"/>
            </w:rPr>
            <w:t>1.3 初设评审意见回复及执行情况</w:t>
          </w:r>
          <w:r>
            <w:tab/>
          </w:r>
          <w:r>
            <w:fldChar w:fldCharType="begin"/>
          </w:r>
          <w:r>
            <w:instrText xml:space="preserve"> PAGEREF _Toc27008 \h </w:instrText>
          </w:r>
          <w:r>
            <w:fldChar w:fldCharType="separate"/>
          </w:r>
          <w:r>
            <w:t>3</w:t>
          </w:r>
          <w:r>
            <w:fldChar w:fldCharType="end"/>
          </w:r>
          <w:r>
            <w:rPr>
              <w:bCs/>
              <w:lang w:val="zh-CN"/>
            </w:rPr>
            <w:fldChar w:fldCharType="end"/>
          </w:r>
        </w:p>
        <w:p w14:paraId="1844ED4A">
          <w:pPr>
            <w:pStyle w:val="59"/>
            <w:tabs>
              <w:tab w:val="right" w:leader="dot" w:pos="9865"/>
            </w:tabs>
          </w:pPr>
          <w:r>
            <w:rPr>
              <w:bCs/>
              <w:lang w:val="zh-CN"/>
            </w:rPr>
            <w:fldChar w:fldCharType="begin"/>
          </w:r>
          <w:r>
            <w:rPr>
              <w:bCs/>
              <w:lang w:val="zh-CN"/>
            </w:rPr>
            <w:instrText xml:space="preserve"> HYPERLINK \l _Toc31480 </w:instrText>
          </w:r>
          <w:r>
            <w:rPr>
              <w:bCs/>
              <w:lang w:val="zh-CN"/>
            </w:rPr>
            <w:fldChar w:fldCharType="separate"/>
          </w:r>
          <w:r>
            <w:rPr>
              <w:rFonts w:hint="eastAsia"/>
            </w:rPr>
            <w:t>第二章 功能定位</w:t>
          </w:r>
          <w:r>
            <w:tab/>
          </w:r>
          <w:r>
            <w:fldChar w:fldCharType="begin"/>
          </w:r>
          <w:r>
            <w:instrText xml:space="preserve"> PAGEREF _Toc31480 \h </w:instrText>
          </w:r>
          <w:r>
            <w:fldChar w:fldCharType="separate"/>
          </w:r>
          <w:r>
            <w:t>4</w:t>
          </w:r>
          <w:r>
            <w:fldChar w:fldCharType="end"/>
          </w:r>
          <w:r>
            <w:rPr>
              <w:bCs/>
              <w:lang w:val="zh-CN"/>
            </w:rPr>
            <w:fldChar w:fldCharType="end"/>
          </w:r>
        </w:p>
        <w:p w14:paraId="7AE1EE3A">
          <w:pPr>
            <w:pStyle w:val="74"/>
            <w:tabs>
              <w:tab w:val="right" w:leader="dot" w:pos="9865"/>
              <w:tab w:val="clear" w:pos="9855"/>
            </w:tabs>
          </w:pPr>
          <w:r>
            <w:rPr>
              <w:bCs/>
              <w:lang w:val="zh-CN"/>
            </w:rPr>
            <w:fldChar w:fldCharType="begin"/>
          </w:r>
          <w:r>
            <w:rPr>
              <w:bCs/>
              <w:lang w:val="zh-CN"/>
            </w:rPr>
            <w:instrText xml:space="preserve"> HYPERLINK \l _Toc18411 </w:instrText>
          </w:r>
          <w:r>
            <w:rPr>
              <w:bCs/>
              <w:lang w:val="zh-CN"/>
            </w:rPr>
            <w:fldChar w:fldCharType="separate"/>
          </w:r>
          <w:r>
            <w:rPr>
              <w:rFonts w:hint="eastAsia"/>
            </w:rPr>
            <w:t>2.1 规划情况</w:t>
          </w:r>
          <w:r>
            <w:tab/>
          </w:r>
          <w:r>
            <w:fldChar w:fldCharType="begin"/>
          </w:r>
          <w:r>
            <w:instrText xml:space="preserve"> PAGEREF _Toc18411 \h </w:instrText>
          </w:r>
          <w:r>
            <w:fldChar w:fldCharType="separate"/>
          </w:r>
          <w:r>
            <w:t>4</w:t>
          </w:r>
          <w:r>
            <w:fldChar w:fldCharType="end"/>
          </w:r>
          <w:r>
            <w:rPr>
              <w:bCs/>
              <w:lang w:val="zh-CN"/>
            </w:rPr>
            <w:fldChar w:fldCharType="end"/>
          </w:r>
        </w:p>
        <w:p w14:paraId="0C71C277">
          <w:pPr>
            <w:pStyle w:val="44"/>
            <w:tabs>
              <w:tab w:val="right" w:leader="dot" w:pos="9865"/>
            </w:tabs>
          </w:pPr>
          <w:r>
            <w:rPr>
              <w:bCs/>
              <w:lang w:val="zh-CN"/>
            </w:rPr>
            <w:fldChar w:fldCharType="begin"/>
          </w:r>
          <w:r>
            <w:rPr>
              <w:bCs/>
              <w:lang w:val="zh-CN"/>
            </w:rPr>
            <w:instrText xml:space="preserve"> HYPERLINK \l _Toc1646 </w:instrText>
          </w:r>
          <w:r>
            <w:rPr>
              <w:bCs/>
              <w:lang w:val="zh-CN"/>
            </w:rPr>
            <w:fldChar w:fldCharType="separate"/>
          </w:r>
          <w:r>
            <w:rPr>
              <w:rFonts w:hint="eastAsia"/>
            </w:rPr>
            <w:t>2.1.1 用地结构规划</w:t>
          </w:r>
          <w:r>
            <w:tab/>
          </w:r>
          <w:r>
            <w:fldChar w:fldCharType="begin"/>
          </w:r>
          <w:r>
            <w:instrText xml:space="preserve"> PAGEREF _Toc1646 \h </w:instrText>
          </w:r>
          <w:r>
            <w:fldChar w:fldCharType="separate"/>
          </w:r>
          <w:r>
            <w:t>4</w:t>
          </w:r>
          <w:r>
            <w:fldChar w:fldCharType="end"/>
          </w:r>
          <w:r>
            <w:rPr>
              <w:bCs/>
              <w:lang w:val="zh-CN"/>
            </w:rPr>
            <w:fldChar w:fldCharType="end"/>
          </w:r>
        </w:p>
        <w:p w14:paraId="1BE5308A">
          <w:pPr>
            <w:pStyle w:val="44"/>
            <w:tabs>
              <w:tab w:val="right" w:leader="dot" w:pos="9865"/>
            </w:tabs>
          </w:pPr>
          <w:r>
            <w:rPr>
              <w:bCs/>
              <w:lang w:val="zh-CN"/>
            </w:rPr>
            <w:fldChar w:fldCharType="begin"/>
          </w:r>
          <w:r>
            <w:rPr>
              <w:bCs/>
              <w:lang w:val="zh-CN"/>
            </w:rPr>
            <w:instrText xml:space="preserve"> HYPERLINK \l _Toc7806 </w:instrText>
          </w:r>
          <w:r>
            <w:rPr>
              <w:bCs/>
              <w:lang w:val="zh-CN"/>
            </w:rPr>
            <w:fldChar w:fldCharType="separate"/>
          </w:r>
          <w:r>
            <w:rPr>
              <w:rFonts w:hint="eastAsia"/>
              <w:lang w:val="en-US" w:eastAsia="zh-CN"/>
            </w:rPr>
            <w:t>2.1.2 用地规划条件</w:t>
          </w:r>
          <w:r>
            <w:tab/>
          </w:r>
          <w:r>
            <w:fldChar w:fldCharType="begin"/>
          </w:r>
          <w:r>
            <w:instrText xml:space="preserve"> PAGEREF _Toc7806 \h </w:instrText>
          </w:r>
          <w:r>
            <w:fldChar w:fldCharType="separate"/>
          </w:r>
          <w:r>
            <w:t>4</w:t>
          </w:r>
          <w:r>
            <w:fldChar w:fldCharType="end"/>
          </w:r>
          <w:r>
            <w:rPr>
              <w:bCs/>
              <w:lang w:val="zh-CN"/>
            </w:rPr>
            <w:fldChar w:fldCharType="end"/>
          </w:r>
        </w:p>
        <w:p w14:paraId="1E3ABCD9">
          <w:pPr>
            <w:pStyle w:val="44"/>
            <w:tabs>
              <w:tab w:val="right" w:leader="dot" w:pos="9865"/>
            </w:tabs>
          </w:pPr>
          <w:r>
            <w:rPr>
              <w:bCs/>
              <w:lang w:val="zh-CN"/>
            </w:rPr>
            <w:fldChar w:fldCharType="begin"/>
          </w:r>
          <w:r>
            <w:rPr>
              <w:bCs/>
              <w:lang w:val="zh-CN"/>
            </w:rPr>
            <w:instrText xml:space="preserve"> HYPERLINK \l _Toc20596 </w:instrText>
          </w:r>
          <w:r>
            <w:rPr>
              <w:bCs/>
              <w:lang w:val="zh-CN"/>
            </w:rPr>
            <w:fldChar w:fldCharType="separate"/>
          </w:r>
          <w:r>
            <w:rPr>
              <w:rFonts w:hint="eastAsia"/>
            </w:rPr>
            <w:t>2.1.3 综合交通规划</w:t>
          </w:r>
          <w:r>
            <w:tab/>
          </w:r>
          <w:r>
            <w:fldChar w:fldCharType="begin"/>
          </w:r>
          <w:r>
            <w:instrText xml:space="preserve"> PAGEREF _Toc20596 \h </w:instrText>
          </w:r>
          <w:r>
            <w:fldChar w:fldCharType="separate"/>
          </w:r>
          <w:r>
            <w:t>4</w:t>
          </w:r>
          <w:r>
            <w:fldChar w:fldCharType="end"/>
          </w:r>
          <w:r>
            <w:rPr>
              <w:bCs/>
              <w:lang w:val="zh-CN"/>
            </w:rPr>
            <w:fldChar w:fldCharType="end"/>
          </w:r>
        </w:p>
        <w:p w14:paraId="7E627F97">
          <w:pPr>
            <w:pStyle w:val="44"/>
            <w:tabs>
              <w:tab w:val="right" w:leader="dot" w:pos="9865"/>
            </w:tabs>
          </w:pPr>
          <w:r>
            <w:rPr>
              <w:bCs/>
              <w:lang w:val="zh-CN"/>
            </w:rPr>
            <w:fldChar w:fldCharType="begin"/>
          </w:r>
          <w:r>
            <w:rPr>
              <w:bCs/>
              <w:lang w:val="zh-CN"/>
            </w:rPr>
            <w:instrText xml:space="preserve"> HYPERLINK \l _Toc11600 </w:instrText>
          </w:r>
          <w:r>
            <w:rPr>
              <w:bCs/>
              <w:lang w:val="zh-CN"/>
            </w:rPr>
            <w:fldChar w:fldCharType="separate"/>
          </w:r>
          <w:r>
            <w:rPr>
              <w:rFonts w:hint="eastAsia"/>
            </w:rPr>
            <w:t>2.1.4 市政管线规划</w:t>
          </w:r>
          <w:r>
            <w:tab/>
          </w:r>
          <w:r>
            <w:fldChar w:fldCharType="begin"/>
          </w:r>
          <w:r>
            <w:instrText xml:space="preserve"> PAGEREF _Toc11600 \h </w:instrText>
          </w:r>
          <w:r>
            <w:fldChar w:fldCharType="separate"/>
          </w:r>
          <w:r>
            <w:t>5</w:t>
          </w:r>
          <w:r>
            <w:fldChar w:fldCharType="end"/>
          </w:r>
          <w:r>
            <w:rPr>
              <w:bCs/>
              <w:lang w:val="zh-CN"/>
            </w:rPr>
            <w:fldChar w:fldCharType="end"/>
          </w:r>
        </w:p>
        <w:p w14:paraId="500A9F23">
          <w:pPr>
            <w:pStyle w:val="74"/>
            <w:tabs>
              <w:tab w:val="right" w:leader="dot" w:pos="9865"/>
              <w:tab w:val="clear" w:pos="9855"/>
            </w:tabs>
          </w:pPr>
          <w:r>
            <w:rPr>
              <w:bCs/>
              <w:lang w:val="zh-CN"/>
            </w:rPr>
            <w:fldChar w:fldCharType="begin"/>
          </w:r>
          <w:r>
            <w:rPr>
              <w:bCs/>
              <w:lang w:val="zh-CN"/>
            </w:rPr>
            <w:instrText xml:space="preserve"> HYPERLINK \l _Toc23286 </w:instrText>
          </w:r>
          <w:r>
            <w:rPr>
              <w:bCs/>
              <w:lang w:val="zh-CN"/>
            </w:rPr>
            <w:fldChar w:fldCharType="separate"/>
          </w:r>
          <w:r>
            <w:rPr>
              <w:rFonts w:hint="eastAsia"/>
            </w:rPr>
            <w:t>2.2 交通量预测</w:t>
          </w:r>
          <w:r>
            <w:tab/>
          </w:r>
          <w:r>
            <w:fldChar w:fldCharType="begin"/>
          </w:r>
          <w:r>
            <w:instrText xml:space="preserve"> PAGEREF _Toc23286 \h </w:instrText>
          </w:r>
          <w:r>
            <w:fldChar w:fldCharType="separate"/>
          </w:r>
          <w:r>
            <w:t>7</w:t>
          </w:r>
          <w:r>
            <w:fldChar w:fldCharType="end"/>
          </w:r>
          <w:r>
            <w:rPr>
              <w:bCs/>
              <w:lang w:val="zh-CN"/>
            </w:rPr>
            <w:fldChar w:fldCharType="end"/>
          </w:r>
        </w:p>
        <w:p w14:paraId="15E4285E">
          <w:pPr>
            <w:pStyle w:val="44"/>
            <w:tabs>
              <w:tab w:val="right" w:leader="dot" w:pos="9865"/>
            </w:tabs>
          </w:pPr>
          <w:r>
            <w:rPr>
              <w:bCs/>
              <w:lang w:val="zh-CN"/>
            </w:rPr>
            <w:fldChar w:fldCharType="begin"/>
          </w:r>
          <w:r>
            <w:rPr>
              <w:bCs/>
              <w:lang w:val="zh-CN"/>
            </w:rPr>
            <w:instrText xml:space="preserve"> HYPERLINK \l _Toc28674 </w:instrText>
          </w:r>
          <w:r>
            <w:rPr>
              <w:bCs/>
              <w:lang w:val="zh-CN"/>
            </w:rPr>
            <w:fldChar w:fldCharType="separate"/>
          </w:r>
          <w:r>
            <w:rPr>
              <w:rFonts w:hint="eastAsia"/>
            </w:rPr>
            <w:t>2</w:t>
          </w:r>
          <w:r>
            <w:t>.2.1</w:t>
          </w:r>
          <w:r>
            <w:rPr>
              <w:rFonts w:hint="eastAsia"/>
            </w:rPr>
            <w:t>交通量预测年限</w:t>
          </w:r>
          <w:r>
            <w:tab/>
          </w:r>
          <w:r>
            <w:fldChar w:fldCharType="begin"/>
          </w:r>
          <w:r>
            <w:instrText xml:space="preserve"> PAGEREF _Toc28674 \h </w:instrText>
          </w:r>
          <w:r>
            <w:fldChar w:fldCharType="separate"/>
          </w:r>
          <w:r>
            <w:t>7</w:t>
          </w:r>
          <w:r>
            <w:fldChar w:fldCharType="end"/>
          </w:r>
          <w:r>
            <w:rPr>
              <w:bCs/>
              <w:lang w:val="zh-CN"/>
            </w:rPr>
            <w:fldChar w:fldCharType="end"/>
          </w:r>
        </w:p>
        <w:p w14:paraId="48E55F96">
          <w:pPr>
            <w:pStyle w:val="44"/>
            <w:tabs>
              <w:tab w:val="right" w:leader="dot" w:pos="9865"/>
            </w:tabs>
          </w:pPr>
          <w:r>
            <w:rPr>
              <w:bCs/>
              <w:lang w:val="zh-CN"/>
            </w:rPr>
            <w:fldChar w:fldCharType="begin"/>
          </w:r>
          <w:r>
            <w:rPr>
              <w:bCs/>
              <w:lang w:val="zh-CN"/>
            </w:rPr>
            <w:instrText xml:space="preserve"> HYPERLINK \l _Toc22226 </w:instrText>
          </w:r>
          <w:r>
            <w:rPr>
              <w:bCs/>
              <w:lang w:val="zh-CN"/>
            </w:rPr>
            <w:fldChar w:fldCharType="separate"/>
          </w:r>
          <w:r>
            <w:rPr>
              <w:rFonts w:hint="eastAsia"/>
            </w:rPr>
            <w:t>2</w:t>
          </w:r>
          <w:r>
            <w:t>.2.2</w:t>
          </w:r>
          <w:r>
            <w:rPr>
              <w:rFonts w:hint="eastAsia"/>
            </w:rPr>
            <w:t>预测思路</w:t>
          </w:r>
          <w:r>
            <w:tab/>
          </w:r>
          <w:r>
            <w:fldChar w:fldCharType="begin"/>
          </w:r>
          <w:r>
            <w:instrText xml:space="preserve"> PAGEREF _Toc22226 \h </w:instrText>
          </w:r>
          <w:r>
            <w:fldChar w:fldCharType="separate"/>
          </w:r>
          <w:r>
            <w:t>7</w:t>
          </w:r>
          <w:r>
            <w:fldChar w:fldCharType="end"/>
          </w:r>
          <w:r>
            <w:rPr>
              <w:bCs/>
              <w:lang w:val="zh-CN"/>
            </w:rPr>
            <w:fldChar w:fldCharType="end"/>
          </w:r>
        </w:p>
        <w:p w14:paraId="7FCC58E3">
          <w:pPr>
            <w:pStyle w:val="44"/>
            <w:tabs>
              <w:tab w:val="right" w:leader="dot" w:pos="9865"/>
            </w:tabs>
          </w:pPr>
          <w:r>
            <w:rPr>
              <w:bCs/>
              <w:lang w:val="zh-CN"/>
            </w:rPr>
            <w:fldChar w:fldCharType="begin"/>
          </w:r>
          <w:r>
            <w:rPr>
              <w:bCs/>
              <w:lang w:val="zh-CN"/>
            </w:rPr>
            <w:instrText xml:space="preserve"> HYPERLINK \l _Toc28859 </w:instrText>
          </w:r>
          <w:r>
            <w:rPr>
              <w:bCs/>
              <w:lang w:val="zh-CN"/>
            </w:rPr>
            <w:fldChar w:fldCharType="separate"/>
          </w:r>
          <w:r>
            <w:rPr>
              <w:rFonts w:hint="eastAsia"/>
            </w:rPr>
            <w:t>2</w:t>
          </w:r>
          <w:r>
            <w:t>.2.3</w:t>
          </w:r>
          <w:r>
            <w:rPr>
              <w:rFonts w:hint="eastAsia"/>
            </w:rPr>
            <w:t>预测内容</w:t>
          </w:r>
          <w:r>
            <w:tab/>
          </w:r>
          <w:r>
            <w:fldChar w:fldCharType="begin"/>
          </w:r>
          <w:r>
            <w:instrText xml:space="preserve"> PAGEREF _Toc28859 \h </w:instrText>
          </w:r>
          <w:r>
            <w:fldChar w:fldCharType="separate"/>
          </w:r>
          <w:r>
            <w:t>7</w:t>
          </w:r>
          <w:r>
            <w:fldChar w:fldCharType="end"/>
          </w:r>
          <w:r>
            <w:rPr>
              <w:bCs/>
              <w:lang w:val="zh-CN"/>
            </w:rPr>
            <w:fldChar w:fldCharType="end"/>
          </w:r>
        </w:p>
        <w:p w14:paraId="606E64F3">
          <w:pPr>
            <w:pStyle w:val="44"/>
            <w:tabs>
              <w:tab w:val="right" w:leader="dot" w:pos="9865"/>
            </w:tabs>
          </w:pPr>
          <w:r>
            <w:rPr>
              <w:bCs/>
              <w:lang w:val="zh-CN"/>
            </w:rPr>
            <w:fldChar w:fldCharType="begin"/>
          </w:r>
          <w:r>
            <w:rPr>
              <w:bCs/>
              <w:lang w:val="zh-CN"/>
            </w:rPr>
            <w:instrText xml:space="preserve"> HYPERLINK \l _Toc14181 </w:instrText>
          </w:r>
          <w:r>
            <w:rPr>
              <w:bCs/>
              <w:lang w:val="zh-CN"/>
            </w:rPr>
            <w:fldChar w:fldCharType="separate"/>
          </w:r>
          <w:r>
            <w:rPr>
              <w:rFonts w:hint="eastAsia"/>
            </w:rPr>
            <w:t>2</w:t>
          </w:r>
          <w:r>
            <w:t>.2.4</w:t>
          </w:r>
          <w:r>
            <w:rPr>
              <w:rFonts w:hint="eastAsia"/>
            </w:rPr>
            <w:t>预测结果</w:t>
          </w:r>
          <w:r>
            <w:tab/>
          </w:r>
          <w:r>
            <w:fldChar w:fldCharType="begin"/>
          </w:r>
          <w:r>
            <w:instrText xml:space="preserve"> PAGEREF _Toc14181 \h </w:instrText>
          </w:r>
          <w:r>
            <w:fldChar w:fldCharType="separate"/>
          </w:r>
          <w:r>
            <w:t>8</w:t>
          </w:r>
          <w:r>
            <w:fldChar w:fldCharType="end"/>
          </w:r>
          <w:r>
            <w:rPr>
              <w:bCs/>
              <w:lang w:val="zh-CN"/>
            </w:rPr>
            <w:fldChar w:fldCharType="end"/>
          </w:r>
        </w:p>
        <w:p w14:paraId="7A2954B6">
          <w:pPr>
            <w:pStyle w:val="74"/>
            <w:tabs>
              <w:tab w:val="right" w:leader="dot" w:pos="9865"/>
              <w:tab w:val="clear" w:pos="9855"/>
            </w:tabs>
          </w:pPr>
          <w:r>
            <w:rPr>
              <w:bCs/>
              <w:lang w:val="zh-CN"/>
            </w:rPr>
            <w:fldChar w:fldCharType="begin"/>
          </w:r>
          <w:r>
            <w:rPr>
              <w:bCs/>
              <w:lang w:val="zh-CN"/>
            </w:rPr>
            <w:instrText xml:space="preserve"> HYPERLINK \l _Toc26599 </w:instrText>
          </w:r>
          <w:r>
            <w:rPr>
              <w:bCs/>
              <w:lang w:val="zh-CN"/>
            </w:rPr>
            <w:fldChar w:fldCharType="separate"/>
          </w:r>
          <w:r>
            <w:rPr>
              <w:rFonts w:hint="eastAsia"/>
            </w:rPr>
            <w:t>2.3 项目建设的意义</w:t>
          </w:r>
          <w:r>
            <w:tab/>
          </w:r>
          <w:r>
            <w:fldChar w:fldCharType="begin"/>
          </w:r>
          <w:r>
            <w:instrText xml:space="preserve"> PAGEREF _Toc26599 \h </w:instrText>
          </w:r>
          <w:r>
            <w:fldChar w:fldCharType="separate"/>
          </w:r>
          <w:r>
            <w:t>8</w:t>
          </w:r>
          <w:r>
            <w:fldChar w:fldCharType="end"/>
          </w:r>
          <w:r>
            <w:rPr>
              <w:bCs/>
              <w:lang w:val="zh-CN"/>
            </w:rPr>
            <w:fldChar w:fldCharType="end"/>
          </w:r>
        </w:p>
        <w:p w14:paraId="5DBE6450">
          <w:pPr>
            <w:pStyle w:val="59"/>
            <w:tabs>
              <w:tab w:val="right" w:leader="dot" w:pos="9865"/>
            </w:tabs>
          </w:pPr>
          <w:r>
            <w:rPr>
              <w:bCs/>
              <w:lang w:val="zh-CN"/>
            </w:rPr>
            <w:fldChar w:fldCharType="begin"/>
          </w:r>
          <w:r>
            <w:rPr>
              <w:bCs/>
              <w:lang w:val="zh-CN"/>
            </w:rPr>
            <w:instrText xml:space="preserve"> HYPERLINK \l _Toc17357 </w:instrText>
          </w:r>
          <w:r>
            <w:rPr>
              <w:bCs/>
              <w:lang w:val="zh-CN"/>
            </w:rPr>
            <w:fldChar w:fldCharType="separate"/>
          </w:r>
          <w:r>
            <w:rPr>
              <w:rFonts w:hint="eastAsia"/>
            </w:rPr>
            <w:t>第三章 建设条件</w:t>
          </w:r>
          <w:r>
            <w:tab/>
          </w:r>
          <w:r>
            <w:fldChar w:fldCharType="begin"/>
          </w:r>
          <w:r>
            <w:instrText xml:space="preserve"> PAGEREF _Toc17357 \h </w:instrText>
          </w:r>
          <w:r>
            <w:fldChar w:fldCharType="separate"/>
          </w:r>
          <w:r>
            <w:t>9</w:t>
          </w:r>
          <w:r>
            <w:fldChar w:fldCharType="end"/>
          </w:r>
          <w:r>
            <w:rPr>
              <w:bCs/>
              <w:lang w:val="zh-CN"/>
            </w:rPr>
            <w:fldChar w:fldCharType="end"/>
          </w:r>
        </w:p>
        <w:p w14:paraId="13E80D14">
          <w:pPr>
            <w:pStyle w:val="74"/>
            <w:tabs>
              <w:tab w:val="right" w:leader="dot" w:pos="9865"/>
              <w:tab w:val="clear" w:pos="9855"/>
            </w:tabs>
          </w:pPr>
          <w:r>
            <w:rPr>
              <w:bCs/>
              <w:lang w:val="zh-CN"/>
            </w:rPr>
            <w:fldChar w:fldCharType="begin"/>
          </w:r>
          <w:r>
            <w:rPr>
              <w:bCs/>
              <w:lang w:val="zh-CN"/>
            </w:rPr>
            <w:instrText xml:space="preserve"> HYPERLINK \l _Toc14093 </w:instrText>
          </w:r>
          <w:r>
            <w:rPr>
              <w:bCs/>
              <w:lang w:val="zh-CN"/>
            </w:rPr>
            <w:fldChar w:fldCharType="separate"/>
          </w:r>
          <w:r>
            <w:rPr>
              <w:rFonts w:hint="eastAsia"/>
            </w:rPr>
            <w:t>3.1 沿线自然地理概况</w:t>
          </w:r>
          <w:r>
            <w:tab/>
          </w:r>
          <w:r>
            <w:fldChar w:fldCharType="begin"/>
          </w:r>
          <w:r>
            <w:instrText xml:space="preserve"> PAGEREF _Toc14093 \h </w:instrText>
          </w:r>
          <w:r>
            <w:fldChar w:fldCharType="separate"/>
          </w:r>
          <w:r>
            <w:t>9</w:t>
          </w:r>
          <w:r>
            <w:fldChar w:fldCharType="end"/>
          </w:r>
          <w:r>
            <w:rPr>
              <w:bCs/>
              <w:lang w:val="zh-CN"/>
            </w:rPr>
            <w:fldChar w:fldCharType="end"/>
          </w:r>
        </w:p>
        <w:p w14:paraId="79C4542E">
          <w:pPr>
            <w:pStyle w:val="44"/>
            <w:tabs>
              <w:tab w:val="right" w:leader="dot" w:pos="9865"/>
            </w:tabs>
          </w:pPr>
          <w:r>
            <w:rPr>
              <w:bCs/>
              <w:lang w:val="zh-CN"/>
            </w:rPr>
            <w:fldChar w:fldCharType="begin"/>
          </w:r>
          <w:r>
            <w:rPr>
              <w:bCs/>
              <w:lang w:val="zh-CN"/>
            </w:rPr>
            <w:instrText xml:space="preserve"> HYPERLINK \l _Toc6887 </w:instrText>
          </w:r>
          <w:r>
            <w:rPr>
              <w:bCs/>
              <w:lang w:val="zh-CN"/>
            </w:rPr>
            <w:fldChar w:fldCharType="separate"/>
          </w:r>
          <w:r>
            <w:rPr>
              <w:rFonts w:hint="eastAsia"/>
            </w:rPr>
            <w:t>3.1.1 气象、水文状况</w:t>
          </w:r>
          <w:r>
            <w:tab/>
          </w:r>
          <w:r>
            <w:fldChar w:fldCharType="begin"/>
          </w:r>
          <w:r>
            <w:instrText xml:space="preserve"> PAGEREF _Toc6887 \h </w:instrText>
          </w:r>
          <w:r>
            <w:fldChar w:fldCharType="separate"/>
          </w:r>
          <w:r>
            <w:t>9</w:t>
          </w:r>
          <w:r>
            <w:fldChar w:fldCharType="end"/>
          </w:r>
          <w:r>
            <w:rPr>
              <w:bCs/>
              <w:lang w:val="zh-CN"/>
            </w:rPr>
            <w:fldChar w:fldCharType="end"/>
          </w:r>
        </w:p>
        <w:p w14:paraId="368A48D8">
          <w:pPr>
            <w:pStyle w:val="74"/>
            <w:tabs>
              <w:tab w:val="right" w:leader="dot" w:pos="9865"/>
              <w:tab w:val="clear" w:pos="9855"/>
            </w:tabs>
          </w:pPr>
          <w:r>
            <w:rPr>
              <w:bCs/>
              <w:lang w:val="zh-CN"/>
            </w:rPr>
            <w:fldChar w:fldCharType="begin"/>
          </w:r>
          <w:r>
            <w:rPr>
              <w:bCs/>
              <w:lang w:val="zh-CN"/>
            </w:rPr>
            <w:instrText xml:space="preserve"> HYPERLINK \l _Toc32568 </w:instrText>
          </w:r>
          <w:r>
            <w:rPr>
              <w:bCs/>
              <w:lang w:val="zh-CN"/>
            </w:rPr>
            <w:fldChar w:fldCharType="separate"/>
          </w:r>
          <w:r>
            <w:rPr>
              <w:rFonts w:hint="eastAsia"/>
            </w:rPr>
            <w:t>3.2 工程地质条件</w:t>
          </w:r>
          <w:r>
            <w:tab/>
          </w:r>
          <w:r>
            <w:fldChar w:fldCharType="begin"/>
          </w:r>
          <w:r>
            <w:instrText xml:space="preserve"> PAGEREF _Toc32568 \h </w:instrText>
          </w:r>
          <w:r>
            <w:fldChar w:fldCharType="separate"/>
          </w:r>
          <w:r>
            <w:t>10</w:t>
          </w:r>
          <w:r>
            <w:fldChar w:fldCharType="end"/>
          </w:r>
          <w:r>
            <w:rPr>
              <w:bCs/>
              <w:lang w:val="zh-CN"/>
            </w:rPr>
            <w:fldChar w:fldCharType="end"/>
          </w:r>
        </w:p>
        <w:p w14:paraId="74134E31">
          <w:pPr>
            <w:pStyle w:val="44"/>
            <w:tabs>
              <w:tab w:val="right" w:leader="dot" w:pos="9865"/>
            </w:tabs>
          </w:pPr>
          <w:r>
            <w:rPr>
              <w:bCs/>
              <w:lang w:val="zh-CN"/>
            </w:rPr>
            <w:fldChar w:fldCharType="begin"/>
          </w:r>
          <w:r>
            <w:rPr>
              <w:bCs/>
              <w:lang w:val="zh-CN"/>
            </w:rPr>
            <w:instrText xml:space="preserve"> HYPERLINK \l _Toc2196 </w:instrText>
          </w:r>
          <w:r>
            <w:rPr>
              <w:bCs/>
              <w:lang w:val="zh-CN"/>
            </w:rPr>
            <w:fldChar w:fldCharType="separate"/>
          </w:r>
          <w:r>
            <w:rPr>
              <w:rFonts w:hint="eastAsia"/>
            </w:rPr>
            <w:t>3.2.1 区域地质概况</w:t>
          </w:r>
          <w:r>
            <w:tab/>
          </w:r>
          <w:r>
            <w:fldChar w:fldCharType="begin"/>
          </w:r>
          <w:r>
            <w:instrText xml:space="preserve"> PAGEREF _Toc2196 \h </w:instrText>
          </w:r>
          <w:r>
            <w:fldChar w:fldCharType="separate"/>
          </w:r>
          <w:r>
            <w:t>10</w:t>
          </w:r>
          <w:r>
            <w:fldChar w:fldCharType="end"/>
          </w:r>
          <w:r>
            <w:rPr>
              <w:bCs/>
              <w:lang w:val="zh-CN"/>
            </w:rPr>
            <w:fldChar w:fldCharType="end"/>
          </w:r>
        </w:p>
        <w:p w14:paraId="4BF1EA77">
          <w:pPr>
            <w:pStyle w:val="44"/>
            <w:tabs>
              <w:tab w:val="right" w:leader="dot" w:pos="9865"/>
            </w:tabs>
          </w:pPr>
          <w:r>
            <w:rPr>
              <w:bCs/>
              <w:lang w:val="zh-CN"/>
            </w:rPr>
            <w:fldChar w:fldCharType="begin"/>
          </w:r>
          <w:r>
            <w:rPr>
              <w:bCs/>
              <w:lang w:val="zh-CN"/>
            </w:rPr>
            <w:instrText xml:space="preserve"> HYPERLINK \l _Toc22472 </w:instrText>
          </w:r>
          <w:r>
            <w:rPr>
              <w:bCs/>
              <w:lang w:val="zh-CN"/>
            </w:rPr>
            <w:fldChar w:fldCharType="separate"/>
          </w:r>
          <w:r>
            <w:rPr>
              <w:rFonts w:hint="eastAsia"/>
            </w:rPr>
            <w:t>3.2.2 地震条件</w:t>
          </w:r>
          <w:r>
            <w:tab/>
          </w:r>
          <w:r>
            <w:fldChar w:fldCharType="begin"/>
          </w:r>
          <w:r>
            <w:instrText xml:space="preserve"> PAGEREF _Toc22472 \h </w:instrText>
          </w:r>
          <w:r>
            <w:fldChar w:fldCharType="separate"/>
          </w:r>
          <w:r>
            <w:t>11</w:t>
          </w:r>
          <w:r>
            <w:fldChar w:fldCharType="end"/>
          </w:r>
          <w:r>
            <w:rPr>
              <w:bCs/>
              <w:lang w:val="zh-CN"/>
            </w:rPr>
            <w:fldChar w:fldCharType="end"/>
          </w:r>
        </w:p>
        <w:p w14:paraId="12FDF66D">
          <w:pPr>
            <w:pStyle w:val="74"/>
            <w:tabs>
              <w:tab w:val="right" w:leader="dot" w:pos="9865"/>
              <w:tab w:val="clear" w:pos="9855"/>
            </w:tabs>
          </w:pPr>
          <w:r>
            <w:rPr>
              <w:bCs/>
              <w:lang w:val="zh-CN"/>
            </w:rPr>
            <w:fldChar w:fldCharType="begin"/>
          </w:r>
          <w:r>
            <w:rPr>
              <w:bCs/>
              <w:lang w:val="zh-CN"/>
            </w:rPr>
            <w:instrText xml:space="preserve"> HYPERLINK \l _Toc15816 </w:instrText>
          </w:r>
          <w:r>
            <w:rPr>
              <w:bCs/>
              <w:lang w:val="zh-CN"/>
            </w:rPr>
            <w:fldChar w:fldCharType="separate"/>
          </w:r>
          <w:r>
            <w:rPr>
              <w:rFonts w:hint="eastAsia"/>
            </w:rPr>
            <w:t>3.3 项目场地现状</w:t>
          </w:r>
          <w:r>
            <w:tab/>
          </w:r>
          <w:r>
            <w:fldChar w:fldCharType="begin"/>
          </w:r>
          <w:r>
            <w:instrText xml:space="preserve"> PAGEREF _Toc15816 \h </w:instrText>
          </w:r>
          <w:r>
            <w:fldChar w:fldCharType="separate"/>
          </w:r>
          <w:r>
            <w:t>12</w:t>
          </w:r>
          <w:r>
            <w:fldChar w:fldCharType="end"/>
          </w:r>
          <w:r>
            <w:rPr>
              <w:bCs/>
              <w:lang w:val="zh-CN"/>
            </w:rPr>
            <w:fldChar w:fldCharType="end"/>
          </w:r>
        </w:p>
        <w:p w14:paraId="7CC03685">
          <w:pPr>
            <w:pStyle w:val="74"/>
            <w:tabs>
              <w:tab w:val="right" w:leader="dot" w:pos="9865"/>
              <w:tab w:val="clear" w:pos="9855"/>
            </w:tabs>
          </w:pPr>
          <w:r>
            <w:rPr>
              <w:bCs/>
              <w:lang w:val="zh-CN"/>
            </w:rPr>
            <w:fldChar w:fldCharType="begin"/>
          </w:r>
          <w:r>
            <w:rPr>
              <w:bCs/>
              <w:lang w:val="zh-CN"/>
            </w:rPr>
            <w:instrText xml:space="preserve"> HYPERLINK \l _Toc4259 </w:instrText>
          </w:r>
          <w:r>
            <w:rPr>
              <w:bCs/>
              <w:lang w:val="zh-CN"/>
            </w:rPr>
            <w:fldChar w:fldCharType="separate"/>
          </w:r>
          <w:r>
            <w:rPr>
              <w:rFonts w:hint="eastAsia"/>
            </w:rPr>
            <w:t>3.4 沿线公交站等城市交通设施现状</w:t>
          </w:r>
          <w:r>
            <w:tab/>
          </w:r>
          <w:r>
            <w:fldChar w:fldCharType="begin"/>
          </w:r>
          <w:r>
            <w:instrText xml:space="preserve"> PAGEREF _Toc4259 \h </w:instrText>
          </w:r>
          <w:r>
            <w:fldChar w:fldCharType="separate"/>
          </w:r>
          <w:r>
            <w:t>12</w:t>
          </w:r>
          <w:r>
            <w:fldChar w:fldCharType="end"/>
          </w:r>
          <w:r>
            <w:rPr>
              <w:bCs/>
              <w:lang w:val="zh-CN"/>
            </w:rPr>
            <w:fldChar w:fldCharType="end"/>
          </w:r>
        </w:p>
        <w:p w14:paraId="0B0E607F">
          <w:pPr>
            <w:pStyle w:val="74"/>
            <w:tabs>
              <w:tab w:val="right" w:leader="dot" w:pos="9865"/>
              <w:tab w:val="clear" w:pos="9855"/>
            </w:tabs>
          </w:pPr>
          <w:r>
            <w:rPr>
              <w:bCs/>
              <w:lang w:val="zh-CN"/>
            </w:rPr>
            <w:fldChar w:fldCharType="begin"/>
          </w:r>
          <w:r>
            <w:rPr>
              <w:bCs/>
              <w:lang w:val="zh-CN"/>
            </w:rPr>
            <w:instrText xml:space="preserve"> HYPERLINK \l _Toc19055 </w:instrText>
          </w:r>
          <w:r>
            <w:rPr>
              <w:bCs/>
              <w:lang w:val="zh-CN"/>
            </w:rPr>
            <w:fldChar w:fldCharType="separate"/>
          </w:r>
          <w:r>
            <w:rPr>
              <w:rFonts w:hint="eastAsia"/>
            </w:rPr>
            <w:t>3.5 项目区域内铁路、水运、航空、管道等运输方式对项目的影响</w:t>
          </w:r>
          <w:r>
            <w:tab/>
          </w:r>
          <w:r>
            <w:fldChar w:fldCharType="begin"/>
          </w:r>
          <w:r>
            <w:instrText xml:space="preserve"> PAGEREF _Toc19055 \h </w:instrText>
          </w:r>
          <w:r>
            <w:fldChar w:fldCharType="separate"/>
          </w:r>
          <w:r>
            <w:t>12</w:t>
          </w:r>
          <w:r>
            <w:fldChar w:fldCharType="end"/>
          </w:r>
          <w:r>
            <w:rPr>
              <w:bCs/>
              <w:lang w:val="zh-CN"/>
            </w:rPr>
            <w:fldChar w:fldCharType="end"/>
          </w:r>
        </w:p>
        <w:p w14:paraId="5A48E596">
          <w:pPr>
            <w:pStyle w:val="59"/>
            <w:tabs>
              <w:tab w:val="right" w:leader="dot" w:pos="9865"/>
            </w:tabs>
          </w:pPr>
          <w:r>
            <w:rPr>
              <w:bCs/>
              <w:lang w:val="zh-CN"/>
            </w:rPr>
            <w:fldChar w:fldCharType="begin"/>
          </w:r>
          <w:r>
            <w:rPr>
              <w:bCs/>
              <w:lang w:val="zh-CN"/>
            </w:rPr>
            <w:instrText xml:space="preserve"> HYPERLINK \l _Toc801 </w:instrText>
          </w:r>
          <w:r>
            <w:rPr>
              <w:bCs/>
              <w:lang w:val="zh-CN"/>
            </w:rPr>
            <w:fldChar w:fldCharType="separate"/>
          </w:r>
          <w:r>
            <w:rPr>
              <w:rFonts w:hint="eastAsia"/>
            </w:rPr>
            <w:t>第四章 工程设计方案</w:t>
          </w:r>
          <w:r>
            <w:tab/>
          </w:r>
          <w:r>
            <w:fldChar w:fldCharType="begin"/>
          </w:r>
          <w:r>
            <w:instrText xml:space="preserve"> PAGEREF _Toc801 \h </w:instrText>
          </w:r>
          <w:r>
            <w:fldChar w:fldCharType="separate"/>
          </w:r>
          <w:r>
            <w:t>13</w:t>
          </w:r>
          <w:r>
            <w:fldChar w:fldCharType="end"/>
          </w:r>
          <w:r>
            <w:rPr>
              <w:bCs/>
              <w:lang w:val="zh-CN"/>
            </w:rPr>
            <w:fldChar w:fldCharType="end"/>
          </w:r>
        </w:p>
        <w:p w14:paraId="4708D51D">
          <w:pPr>
            <w:pStyle w:val="74"/>
            <w:tabs>
              <w:tab w:val="right" w:leader="dot" w:pos="9865"/>
              <w:tab w:val="clear" w:pos="9855"/>
            </w:tabs>
          </w:pPr>
          <w:r>
            <w:rPr>
              <w:bCs/>
              <w:lang w:val="zh-CN"/>
            </w:rPr>
            <w:fldChar w:fldCharType="begin"/>
          </w:r>
          <w:r>
            <w:rPr>
              <w:bCs/>
              <w:lang w:val="zh-CN"/>
            </w:rPr>
            <w:instrText xml:space="preserve"> HYPERLINK \l _Toc28470 </w:instrText>
          </w:r>
          <w:r>
            <w:rPr>
              <w:bCs/>
              <w:lang w:val="zh-CN"/>
            </w:rPr>
            <w:fldChar w:fldCharType="separate"/>
          </w:r>
          <w:r>
            <w:rPr>
              <w:rFonts w:hint="eastAsia"/>
            </w:rPr>
            <w:t>4.1 总体设计</w:t>
          </w:r>
          <w:r>
            <w:tab/>
          </w:r>
          <w:r>
            <w:fldChar w:fldCharType="begin"/>
          </w:r>
          <w:r>
            <w:instrText xml:space="preserve"> PAGEREF _Toc28470 \h </w:instrText>
          </w:r>
          <w:r>
            <w:fldChar w:fldCharType="separate"/>
          </w:r>
          <w:r>
            <w:t>13</w:t>
          </w:r>
          <w:r>
            <w:fldChar w:fldCharType="end"/>
          </w:r>
          <w:r>
            <w:rPr>
              <w:bCs/>
              <w:lang w:val="zh-CN"/>
            </w:rPr>
            <w:fldChar w:fldCharType="end"/>
          </w:r>
        </w:p>
        <w:p w14:paraId="39B9AC61">
          <w:pPr>
            <w:pStyle w:val="44"/>
            <w:tabs>
              <w:tab w:val="right" w:leader="dot" w:pos="9865"/>
            </w:tabs>
          </w:pPr>
          <w:r>
            <w:rPr>
              <w:bCs/>
              <w:lang w:val="zh-CN"/>
            </w:rPr>
            <w:fldChar w:fldCharType="begin"/>
          </w:r>
          <w:r>
            <w:rPr>
              <w:bCs/>
              <w:lang w:val="zh-CN"/>
            </w:rPr>
            <w:instrText xml:space="preserve"> HYPERLINK \l _Toc20266 </w:instrText>
          </w:r>
          <w:r>
            <w:rPr>
              <w:bCs/>
              <w:lang w:val="zh-CN"/>
            </w:rPr>
            <w:fldChar w:fldCharType="separate"/>
          </w:r>
          <w:r>
            <w:rPr>
              <w:rFonts w:hint="eastAsia"/>
            </w:rPr>
            <w:t>4.1.1 技术标准与设计技术指标</w:t>
          </w:r>
          <w:r>
            <w:tab/>
          </w:r>
          <w:r>
            <w:fldChar w:fldCharType="begin"/>
          </w:r>
          <w:r>
            <w:instrText xml:space="preserve"> PAGEREF _Toc20266 \h </w:instrText>
          </w:r>
          <w:r>
            <w:fldChar w:fldCharType="separate"/>
          </w:r>
          <w:r>
            <w:t>13</w:t>
          </w:r>
          <w:r>
            <w:fldChar w:fldCharType="end"/>
          </w:r>
          <w:r>
            <w:rPr>
              <w:bCs/>
              <w:lang w:val="zh-CN"/>
            </w:rPr>
            <w:fldChar w:fldCharType="end"/>
          </w:r>
        </w:p>
        <w:p w14:paraId="012761AE">
          <w:pPr>
            <w:pStyle w:val="44"/>
            <w:tabs>
              <w:tab w:val="right" w:leader="dot" w:pos="9865"/>
            </w:tabs>
          </w:pPr>
          <w:r>
            <w:rPr>
              <w:bCs/>
              <w:lang w:val="zh-CN"/>
            </w:rPr>
            <w:fldChar w:fldCharType="begin"/>
          </w:r>
          <w:r>
            <w:rPr>
              <w:bCs/>
              <w:lang w:val="zh-CN"/>
            </w:rPr>
            <w:instrText xml:space="preserve"> HYPERLINK \l _Toc20134 </w:instrText>
          </w:r>
          <w:r>
            <w:rPr>
              <w:bCs/>
              <w:lang w:val="zh-CN"/>
            </w:rPr>
            <w:fldChar w:fldCharType="separate"/>
          </w:r>
          <w:r>
            <w:rPr>
              <w:rFonts w:hint="eastAsia"/>
            </w:rPr>
            <w:t>4.1.2 平面设计</w:t>
          </w:r>
          <w:r>
            <w:tab/>
          </w:r>
          <w:r>
            <w:fldChar w:fldCharType="begin"/>
          </w:r>
          <w:r>
            <w:instrText xml:space="preserve"> PAGEREF _Toc20134 \h </w:instrText>
          </w:r>
          <w:r>
            <w:fldChar w:fldCharType="separate"/>
          </w:r>
          <w:r>
            <w:t>13</w:t>
          </w:r>
          <w:r>
            <w:fldChar w:fldCharType="end"/>
          </w:r>
          <w:r>
            <w:rPr>
              <w:bCs/>
              <w:lang w:val="zh-CN"/>
            </w:rPr>
            <w:fldChar w:fldCharType="end"/>
          </w:r>
        </w:p>
        <w:p w14:paraId="38EA1D89">
          <w:pPr>
            <w:pStyle w:val="44"/>
            <w:tabs>
              <w:tab w:val="right" w:leader="dot" w:pos="9865"/>
            </w:tabs>
          </w:pPr>
          <w:r>
            <w:rPr>
              <w:bCs/>
              <w:lang w:val="zh-CN"/>
            </w:rPr>
            <w:fldChar w:fldCharType="begin"/>
          </w:r>
          <w:r>
            <w:rPr>
              <w:bCs/>
              <w:lang w:val="zh-CN"/>
            </w:rPr>
            <w:instrText xml:space="preserve"> HYPERLINK \l _Toc3671 </w:instrText>
          </w:r>
          <w:r>
            <w:rPr>
              <w:bCs/>
              <w:lang w:val="zh-CN"/>
            </w:rPr>
            <w:fldChar w:fldCharType="separate"/>
          </w:r>
          <w:r>
            <w:rPr>
              <w:rFonts w:hint="eastAsia"/>
            </w:rPr>
            <w:t>4.1.3 纵断面设计</w:t>
          </w:r>
          <w:r>
            <w:tab/>
          </w:r>
          <w:r>
            <w:fldChar w:fldCharType="begin"/>
          </w:r>
          <w:r>
            <w:instrText xml:space="preserve"> PAGEREF _Toc3671 \h </w:instrText>
          </w:r>
          <w:r>
            <w:fldChar w:fldCharType="separate"/>
          </w:r>
          <w:r>
            <w:t>13</w:t>
          </w:r>
          <w:r>
            <w:fldChar w:fldCharType="end"/>
          </w:r>
          <w:r>
            <w:rPr>
              <w:bCs/>
              <w:lang w:val="zh-CN"/>
            </w:rPr>
            <w:fldChar w:fldCharType="end"/>
          </w:r>
        </w:p>
        <w:p w14:paraId="4112242F">
          <w:pPr>
            <w:pStyle w:val="44"/>
            <w:tabs>
              <w:tab w:val="right" w:leader="dot" w:pos="9865"/>
            </w:tabs>
          </w:pPr>
          <w:r>
            <w:rPr>
              <w:bCs/>
              <w:lang w:val="zh-CN"/>
            </w:rPr>
            <w:fldChar w:fldCharType="begin"/>
          </w:r>
          <w:r>
            <w:rPr>
              <w:bCs/>
              <w:lang w:val="zh-CN"/>
            </w:rPr>
            <w:instrText xml:space="preserve"> HYPERLINK \l _Toc71 </w:instrText>
          </w:r>
          <w:r>
            <w:rPr>
              <w:bCs/>
              <w:lang w:val="zh-CN"/>
            </w:rPr>
            <w:fldChar w:fldCharType="separate"/>
          </w:r>
          <w:r>
            <w:rPr>
              <w:rFonts w:hint="eastAsia"/>
            </w:rPr>
            <w:t>4.1.4 横断面设计</w:t>
          </w:r>
          <w:r>
            <w:tab/>
          </w:r>
          <w:r>
            <w:fldChar w:fldCharType="begin"/>
          </w:r>
          <w:r>
            <w:instrText xml:space="preserve"> PAGEREF _Toc71 \h </w:instrText>
          </w:r>
          <w:r>
            <w:fldChar w:fldCharType="separate"/>
          </w:r>
          <w:r>
            <w:t>14</w:t>
          </w:r>
          <w:r>
            <w:fldChar w:fldCharType="end"/>
          </w:r>
          <w:r>
            <w:rPr>
              <w:bCs/>
              <w:lang w:val="zh-CN"/>
            </w:rPr>
            <w:fldChar w:fldCharType="end"/>
          </w:r>
        </w:p>
        <w:p w14:paraId="3822F765">
          <w:pPr>
            <w:pStyle w:val="44"/>
            <w:tabs>
              <w:tab w:val="right" w:leader="dot" w:pos="9865"/>
            </w:tabs>
          </w:pPr>
          <w:r>
            <w:rPr>
              <w:bCs/>
              <w:lang w:val="zh-CN"/>
            </w:rPr>
            <w:fldChar w:fldCharType="begin"/>
          </w:r>
          <w:r>
            <w:rPr>
              <w:bCs/>
              <w:lang w:val="zh-CN"/>
            </w:rPr>
            <w:instrText xml:space="preserve"> HYPERLINK \l _Toc5404 </w:instrText>
          </w:r>
          <w:r>
            <w:rPr>
              <w:bCs/>
              <w:lang w:val="zh-CN"/>
            </w:rPr>
            <w:fldChar w:fldCharType="separate"/>
          </w:r>
          <w:r>
            <w:rPr>
              <w:rFonts w:hint="eastAsia"/>
            </w:rPr>
            <w:t>4.1.5 交叉口设计</w:t>
          </w:r>
          <w:r>
            <w:tab/>
          </w:r>
          <w:r>
            <w:fldChar w:fldCharType="begin"/>
          </w:r>
          <w:r>
            <w:instrText xml:space="preserve"> PAGEREF _Toc5404 \h </w:instrText>
          </w:r>
          <w:r>
            <w:fldChar w:fldCharType="separate"/>
          </w:r>
          <w:r>
            <w:t>14</w:t>
          </w:r>
          <w:r>
            <w:fldChar w:fldCharType="end"/>
          </w:r>
          <w:r>
            <w:rPr>
              <w:bCs/>
              <w:lang w:val="zh-CN"/>
            </w:rPr>
            <w:fldChar w:fldCharType="end"/>
          </w:r>
        </w:p>
        <w:p w14:paraId="478AC5F8">
          <w:pPr>
            <w:pStyle w:val="74"/>
            <w:tabs>
              <w:tab w:val="right" w:leader="dot" w:pos="9865"/>
              <w:tab w:val="clear" w:pos="9855"/>
            </w:tabs>
          </w:pPr>
          <w:r>
            <w:rPr>
              <w:bCs/>
              <w:lang w:val="zh-CN"/>
            </w:rPr>
            <w:fldChar w:fldCharType="begin"/>
          </w:r>
          <w:r>
            <w:rPr>
              <w:bCs/>
              <w:lang w:val="zh-CN"/>
            </w:rPr>
            <w:instrText xml:space="preserve"> HYPERLINK \l _Toc23967 </w:instrText>
          </w:r>
          <w:r>
            <w:rPr>
              <w:bCs/>
              <w:lang w:val="zh-CN"/>
            </w:rPr>
            <w:fldChar w:fldCharType="separate"/>
          </w:r>
          <w:r>
            <w:rPr>
              <w:rFonts w:hint="eastAsia"/>
            </w:rPr>
            <w:t>4.2 路基、路面工程</w:t>
          </w:r>
          <w:r>
            <w:tab/>
          </w:r>
          <w:r>
            <w:fldChar w:fldCharType="begin"/>
          </w:r>
          <w:r>
            <w:instrText xml:space="preserve"> PAGEREF _Toc23967 \h </w:instrText>
          </w:r>
          <w:r>
            <w:fldChar w:fldCharType="separate"/>
          </w:r>
          <w:r>
            <w:t>14</w:t>
          </w:r>
          <w:r>
            <w:fldChar w:fldCharType="end"/>
          </w:r>
          <w:r>
            <w:rPr>
              <w:bCs/>
              <w:lang w:val="zh-CN"/>
            </w:rPr>
            <w:fldChar w:fldCharType="end"/>
          </w:r>
        </w:p>
        <w:p w14:paraId="50AC3D29">
          <w:pPr>
            <w:pStyle w:val="44"/>
            <w:tabs>
              <w:tab w:val="right" w:leader="dot" w:pos="9865"/>
            </w:tabs>
          </w:pPr>
          <w:r>
            <w:rPr>
              <w:bCs/>
              <w:lang w:val="zh-CN"/>
            </w:rPr>
            <w:fldChar w:fldCharType="begin"/>
          </w:r>
          <w:r>
            <w:rPr>
              <w:bCs/>
              <w:lang w:val="zh-CN"/>
            </w:rPr>
            <w:instrText xml:space="preserve"> HYPERLINK \l _Toc23108 </w:instrText>
          </w:r>
          <w:r>
            <w:rPr>
              <w:bCs/>
              <w:lang w:val="zh-CN"/>
            </w:rPr>
            <w:fldChar w:fldCharType="separate"/>
          </w:r>
          <w:r>
            <w:rPr>
              <w:rFonts w:hint="eastAsia"/>
              <w:bCs w:val="0"/>
            </w:rPr>
            <w:t>4.2.1 一般路基设计</w:t>
          </w:r>
          <w:r>
            <w:tab/>
          </w:r>
          <w:r>
            <w:fldChar w:fldCharType="begin"/>
          </w:r>
          <w:r>
            <w:instrText xml:space="preserve"> PAGEREF _Toc23108 \h </w:instrText>
          </w:r>
          <w:r>
            <w:fldChar w:fldCharType="separate"/>
          </w:r>
          <w:r>
            <w:t>14</w:t>
          </w:r>
          <w:r>
            <w:fldChar w:fldCharType="end"/>
          </w:r>
          <w:r>
            <w:rPr>
              <w:bCs/>
              <w:lang w:val="zh-CN"/>
            </w:rPr>
            <w:fldChar w:fldCharType="end"/>
          </w:r>
        </w:p>
        <w:p w14:paraId="4A4FCA00">
          <w:pPr>
            <w:pStyle w:val="44"/>
            <w:tabs>
              <w:tab w:val="right" w:leader="dot" w:pos="9865"/>
            </w:tabs>
          </w:pPr>
          <w:r>
            <w:rPr>
              <w:bCs/>
              <w:lang w:val="zh-CN"/>
            </w:rPr>
            <w:fldChar w:fldCharType="begin"/>
          </w:r>
          <w:r>
            <w:rPr>
              <w:bCs/>
              <w:lang w:val="zh-CN"/>
            </w:rPr>
            <w:instrText xml:space="preserve"> HYPERLINK \l _Toc24638 </w:instrText>
          </w:r>
          <w:r>
            <w:rPr>
              <w:bCs/>
              <w:lang w:val="zh-CN"/>
            </w:rPr>
            <w:fldChar w:fldCharType="separate"/>
          </w:r>
          <w:r>
            <w:rPr>
              <w:rFonts w:hint="eastAsia"/>
              <w:bCs w:val="0"/>
            </w:rPr>
            <w:t>4.2.2 路基、路面排水设计</w:t>
          </w:r>
          <w:r>
            <w:tab/>
          </w:r>
          <w:r>
            <w:fldChar w:fldCharType="begin"/>
          </w:r>
          <w:r>
            <w:instrText xml:space="preserve"> PAGEREF _Toc24638 \h </w:instrText>
          </w:r>
          <w:r>
            <w:fldChar w:fldCharType="separate"/>
          </w:r>
          <w:r>
            <w:t>15</w:t>
          </w:r>
          <w:r>
            <w:fldChar w:fldCharType="end"/>
          </w:r>
          <w:r>
            <w:rPr>
              <w:bCs/>
              <w:lang w:val="zh-CN"/>
            </w:rPr>
            <w:fldChar w:fldCharType="end"/>
          </w:r>
        </w:p>
        <w:p w14:paraId="2E818E66">
          <w:pPr>
            <w:pStyle w:val="44"/>
            <w:tabs>
              <w:tab w:val="right" w:leader="dot" w:pos="9865"/>
            </w:tabs>
          </w:pPr>
          <w:r>
            <w:rPr>
              <w:bCs/>
              <w:lang w:val="zh-CN"/>
            </w:rPr>
            <w:fldChar w:fldCharType="begin"/>
          </w:r>
          <w:r>
            <w:rPr>
              <w:bCs/>
              <w:lang w:val="zh-CN"/>
            </w:rPr>
            <w:instrText xml:space="preserve"> HYPERLINK \l _Toc8004 </w:instrText>
          </w:r>
          <w:r>
            <w:rPr>
              <w:bCs/>
              <w:lang w:val="zh-CN"/>
            </w:rPr>
            <w:fldChar w:fldCharType="separate"/>
          </w:r>
          <w:r>
            <w:rPr>
              <w:rFonts w:hint="eastAsia"/>
              <w:bCs w:val="0"/>
            </w:rPr>
            <w:t>4.2.3 路基防护</w:t>
          </w:r>
          <w:r>
            <w:tab/>
          </w:r>
          <w:r>
            <w:fldChar w:fldCharType="begin"/>
          </w:r>
          <w:r>
            <w:instrText xml:space="preserve"> PAGEREF _Toc8004 \h </w:instrText>
          </w:r>
          <w:r>
            <w:fldChar w:fldCharType="separate"/>
          </w:r>
          <w:r>
            <w:t>15</w:t>
          </w:r>
          <w:r>
            <w:fldChar w:fldCharType="end"/>
          </w:r>
          <w:r>
            <w:rPr>
              <w:bCs/>
              <w:lang w:val="zh-CN"/>
            </w:rPr>
            <w:fldChar w:fldCharType="end"/>
          </w:r>
        </w:p>
        <w:p w14:paraId="23679D22">
          <w:pPr>
            <w:pStyle w:val="44"/>
            <w:tabs>
              <w:tab w:val="right" w:leader="dot" w:pos="9865"/>
            </w:tabs>
          </w:pPr>
          <w:r>
            <w:rPr>
              <w:bCs/>
              <w:lang w:val="zh-CN"/>
            </w:rPr>
            <w:fldChar w:fldCharType="begin"/>
          </w:r>
          <w:r>
            <w:rPr>
              <w:bCs/>
              <w:lang w:val="zh-CN"/>
            </w:rPr>
            <w:instrText xml:space="preserve"> HYPERLINK \l _Toc24902 </w:instrText>
          </w:r>
          <w:r>
            <w:rPr>
              <w:bCs/>
              <w:lang w:val="zh-CN"/>
            </w:rPr>
            <w:fldChar w:fldCharType="separate"/>
          </w:r>
          <w:r>
            <w:rPr>
              <w:rFonts w:hint="eastAsia"/>
              <w:bCs w:val="0"/>
            </w:rPr>
            <w:t>4.2.4 路基处理</w:t>
          </w:r>
          <w:r>
            <w:tab/>
          </w:r>
          <w:r>
            <w:fldChar w:fldCharType="begin"/>
          </w:r>
          <w:r>
            <w:instrText xml:space="preserve"> PAGEREF _Toc24902 \h </w:instrText>
          </w:r>
          <w:r>
            <w:fldChar w:fldCharType="separate"/>
          </w:r>
          <w:r>
            <w:t>15</w:t>
          </w:r>
          <w:r>
            <w:fldChar w:fldCharType="end"/>
          </w:r>
          <w:r>
            <w:rPr>
              <w:bCs/>
              <w:lang w:val="zh-CN"/>
            </w:rPr>
            <w:fldChar w:fldCharType="end"/>
          </w:r>
        </w:p>
        <w:p w14:paraId="3DB882CF">
          <w:pPr>
            <w:pStyle w:val="44"/>
            <w:tabs>
              <w:tab w:val="right" w:leader="dot" w:pos="9865"/>
            </w:tabs>
          </w:pPr>
          <w:r>
            <w:rPr>
              <w:bCs/>
              <w:lang w:val="zh-CN"/>
            </w:rPr>
            <w:fldChar w:fldCharType="begin"/>
          </w:r>
          <w:r>
            <w:rPr>
              <w:bCs/>
              <w:lang w:val="zh-CN"/>
            </w:rPr>
            <w:instrText xml:space="preserve"> HYPERLINK \l _Toc2098 </w:instrText>
          </w:r>
          <w:r>
            <w:rPr>
              <w:bCs/>
              <w:lang w:val="zh-CN"/>
            </w:rPr>
            <w:fldChar w:fldCharType="separate"/>
          </w:r>
          <w:r>
            <w:rPr>
              <w:rFonts w:hint="eastAsia"/>
              <w:bCs w:val="0"/>
            </w:rPr>
            <w:t>4.2.5 路面结构设计</w:t>
          </w:r>
          <w:r>
            <w:tab/>
          </w:r>
          <w:r>
            <w:fldChar w:fldCharType="begin"/>
          </w:r>
          <w:r>
            <w:instrText xml:space="preserve"> PAGEREF _Toc2098 \h </w:instrText>
          </w:r>
          <w:r>
            <w:fldChar w:fldCharType="separate"/>
          </w:r>
          <w:r>
            <w:t>16</w:t>
          </w:r>
          <w:r>
            <w:fldChar w:fldCharType="end"/>
          </w:r>
          <w:r>
            <w:rPr>
              <w:bCs/>
              <w:lang w:val="zh-CN"/>
            </w:rPr>
            <w:fldChar w:fldCharType="end"/>
          </w:r>
        </w:p>
        <w:p w14:paraId="3FC66402">
          <w:pPr>
            <w:pStyle w:val="44"/>
            <w:tabs>
              <w:tab w:val="right" w:leader="dot" w:pos="9865"/>
            </w:tabs>
          </w:pPr>
          <w:r>
            <w:rPr>
              <w:bCs/>
              <w:lang w:val="zh-CN"/>
            </w:rPr>
            <w:fldChar w:fldCharType="begin"/>
          </w:r>
          <w:r>
            <w:rPr>
              <w:bCs/>
              <w:lang w:val="zh-CN"/>
            </w:rPr>
            <w:instrText xml:space="preserve"> HYPERLINK \l _Toc19978 </w:instrText>
          </w:r>
          <w:r>
            <w:rPr>
              <w:bCs/>
              <w:lang w:val="zh-CN"/>
            </w:rPr>
            <w:fldChar w:fldCharType="separate"/>
          </w:r>
          <w:r>
            <w:rPr>
              <w:rFonts w:hint="eastAsia"/>
              <w:bCs w:val="0"/>
            </w:rPr>
            <w:t>4.2.6 路面验收标准</w:t>
          </w:r>
          <w:r>
            <w:tab/>
          </w:r>
          <w:r>
            <w:fldChar w:fldCharType="begin"/>
          </w:r>
          <w:r>
            <w:instrText xml:space="preserve"> PAGEREF _Toc19978 \h </w:instrText>
          </w:r>
          <w:r>
            <w:fldChar w:fldCharType="separate"/>
          </w:r>
          <w:r>
            <w:t>16</w:t>
          </w:r>
          <w:r>
            <w:fldChar w:fldCharType="end"/>
          </w:r>
          <w:r>
            <w:rPr>
              <w:bCs/>
              <w:lang w:val="zh-CN"/>
            </w:rPr>
            <w:fldChar w:fldCharType="end"/>
          </w:r>
        </w:p>
        <w:p w14:paraId="6DAE622B">
          <w:pPr>
            <w:pStyle w:val="44"/>
            <w:tabs>
              <w:tab w:val="right" w:leader="dot" w:pos="9865"/>
            </w:tabs>
          </w:pPr>
          <w:r>
            <w:rPr>
              <w:bCs/>
              <w:lang w:val="zh-CN"/>
            </w:rPr>
            <w:fldChar w:fldCharType="begin"/>
          </w:r>
          <w:r>
            <w:rPr>
              <w:bCs/>
              <w:lang w:val="zh-CN"/>
            </w:rPr>
            <w:instrText xml:space="preserve"> HYPERLINK \l _Toc2144 </w:instrText>
          </w:r>
          <w:r>
            <w:rPr>
              <w:bCs/>
              <w:lang w:val="zh-CN"/>
            </w:rPr>
            <w:fldChar w:fldCharType="separate"/>
          </w:r>
          <w:r>
            <w:rPr>
              <w:rFonts w:hint="eastAsia"/>
            </w:rPr>
            <w:t>4.2.7 无障碍设计</w:t>
          </w:r>
          <w:r>
            <w:tab/>
          </w:r>
          <w:r>
            <w:fldChar w:fldCharType="begin"/>
          </w:r>
          <w:r>
            <w:instrText xml:space="preserve"> PAGEREF _Toc2144 \h </w:instrText>
          </w:r>
          <w:r>
            <w:fldChar w:fldCharType="separate"/>
          </w:r>
          <w:r>
            <w:t>17</w:t>
          </w:r>
          <w:r>
            <w:fldChar w:fldCharType="end"/>
          </w:r>
          <w:r>
            <w:rPr>
              <w:bCs/>
              <w:lang w:val="zh-CN"/>
            </w:rPr>
            <w:fldChar w:fldCharType="end"/>
          </w:r>
        </w:p>
        <w:p w14:paraId="29E46029">
          <w:pPr>
            <w:pStyle w:val="44"/>
            <w:tabs>
              <w:tab w:val="right" w:leader="dot" w:pos="9865"/>
            </w:tabs>
          </w:pPr>
          <w:r>
            <w:rPr>
              <w:bCs/>
              <w:lang w:val="zh-CN"/>
            </w:rPr>
            <w:fldChar w:fldCharType="begin"/>
          </w:r>
          <w:r>
            <w:rPr>
              <w:bCs/>
              <w:lang w:val="zh-CN"/>
            </w:rPr>
            <w:instrText xml:space="preserve"> HYPERLINK \l _Toc17073 </w:instrText>
          </w:r>
          <w:r>
            <w:rPr>
              <w:bCs/>
              <w:lang w:val="zh-CN"/>
            </w:rPr>
            <w:fldChar w:fldCharType="separate"/>
          </w:r>
          <w:r>
            <w:rPr>
              <w:rFonts w:hint="eastAsia"/>
            </w:rPr>
            <w:t>4.2.8 人行系统及过街设计</w:t>
          </w:r>
          <w:r>
            <w:tab/>
          </w:r>
          <w:r>
            <w:fldChar w:fldCharType="begin"/>
          </w:r>
          <w:r>
            <w:instrText xml:space="preserve"> PAGEREF _Toc17073 \h </w:instrText>
          </w:r>
          <w:r>
            <w:fldChar w:fldCharType="separate"/>
          </w:r>
          <w:r>
            <w:t>17</w:t>
          </w:r>
          <w:r>
            <w:fldChar w:fldCharType="end"/>
          </w:r>
          <w:r>
            <w:rPr>
              <w:bCs/>
              <w:lang w:val="zh-CN"/>
            </w:rPr>
            <w:fldChar w:fldCharType="end"/>
          </w:r>
        </w:p>
        <w:p w14:paraId="1A0CBEB2">
          <w:pPr>
            <w:pStyle w:val="44"/>
            <w:tabs>
              <w:tab w:val="right" w:leader="dot" w:pos="9865"/>
            </w:tabs>
          </w:pPr>
          <w:r>
            <w:rPr>
              <w:bCs/>
              <w:lang w:val="zh-CN"/>
            </w:rPr>
            <w:fldChar w:fldCharType="begin"/>
          </w:r>
          <w:r>
            <w:rPr>
              <w:bCs/>
              <w:lang w:val="zh-CN"/>
            </w:rPr>
            <w:instrText xml:space="preserve"> HYPERLINK \l _Toc28911 </w:instrText>
          </w:r>
          <w:r>
            <w:rPr>
              <w:bCs/>
              <w:lang w:val="zh-CN"/>
            </w:rPr>
            <w:fldChar w:fldCharType="separate"/>
          </w:r>
          <w:r>
            <w:rPr>
              <w:rFonts w:hint="eastAsia"/>
            </w:rPr>
            <w:t>4.2.9 海绵城市设计</w:t>
          </w:r>
          <w:r>
            <w:tab/>
          </w:r>
          <w:r>
            <w:fldChar w:fldCharType="begin"/>
          </w:r>
          <w:r>
            <w:instrText xml:space="preserve"> PAGEREF _Toc28911 \h </w:instrText>
          </w:r>
          <w:r>
            <w:fldChar w:fldCharType="separate"/>
          </w:r>
          <w:r>
            <w:t>17</w:t>
          </w:r>
          <w:r>
            <w:fldChar w:fldCharType="end"/>
          </w:r>
          <w:r>
            <w:rPr>
              <w:bCs/>
              <w:lang w:val="zh-CN"/>
            </w:rPr>
            <w:fldChar w:fldCharType="end"/>
          </w:r>
        </w:p>
        <w:p w14:paraId="0D5FF70E">
          <w:pPr>
            <w:pStyle w:val="44"/>
            <w:tabs>
              <w:tab w:val="right" w:leader="dot" w:pos="9865"/>
            </w:tabs>
          </w:pPr>
          <w:r>
            <w:rPr>
              <w:bCs/>
              <w:lang w:val="zh-CN"/>
            </w:rPr>
            <w:fldChar w:fldCharType="begin"/>
          </w:r>
          <w:r>
            <w:rPr>
              <w:bCs/>
              <w:lang w:val="zh-CN"/>
            </w:rPr>
            <w:instrText xml:space="preserve"> HYPERLINK \l _Toc17167 </w:instrText>
          </w:r>
          <w:r>
            <w:rPr>
              <w:bCs/>
              <w:lang w:val="zh-CN"/>
            </w:rPr>
            <w:fldChar w:fldCharType="separate"/>
          </w:r>
          <w:r>
            <w:rPr>
              <w:rFonts w:hint="eastAsia"/>
            </w:rPr>
            <w:t>4.2.10 路面材料要求</w:t>
          </w:r>
          <w:r>
            <w:tab/>
          </w:r>
          <w:r>
            <w:fldChar w:fldCharType="begin"/>
          </w:r>
          <w:r>
            <w:instrText xml:space="preserve"> PAGEREF _Toc17167 \h </w:instrText>
          </w:r>
          <w:r>
            <w:fldChar w:fldCharType="separate"/>
          </w:r>
          <w:r>
            <w:t>17</w:t>
          </w:r>
          <w:r>
            <w:fldChar w:fldCharType="end"/>
          </w:r>
          <w:r>
            <w:rPr>
              <w:bCs/>
              <w:lang w:val="zh-CN"/>
            </w:rPr>
            <w:fldChar w:fldCharType="end"/>
          </w:r>
        </w:p>
        <w:p w14:paraId="4EB3E861">
          <w:pPr>
            <w:pStyle w:val="59"/>
            <w:tabs>
              <w:tab w:val="right" w:leader="dot" w:pos="9865"/>
            </w:tabs>
          </w:pPr>
          <w:r>
            <w:rPr>
              <w:bCs/>
              <w:lang w:val="zh-CN"/>
            </w:rPr>
            <w:fldChar w:fldCharType="begin"/>
          </w:r>
          <w:r>
            <w:rPr>
              <w:bCs/>
              <w:lang w:val="zh-CN"/>
            </w:rPr>
            <w:instrText xml:space="preserve"> HYPERLINK \l _Toc6357 </w:instrText>
          </w:r>
          <w:r>
            <w:rPr>
              <w:bCs/>
              <w:lang w:val="zh-CN"/>
            </w:rPr>
            <w:fldChar w:fldCharType="separate"/>
          </w:r>
          <w:r>
            <w:rPr>
              <w:rFonts w:hint="eastAsia"/>
            </w:rPr>
            <w:t>第五章 施工和生产技术要求</w:t>
          </w:r>
          <w:r>
            <w:tab/>
          </w:r>
          <w:r>
            <w:fldChar w:fldCharType="begin"/>
          </w:r>
          <w:r>
            <w:instrText xml:space="preserve"> PAGEREF _Toc6357 \h </w:instrText>
          </w:r>
          <w:r>
            <w:fldChar w:fldCharType="separate"/>
          </w:r>
          <w:r>
            <w:t>21</w:t>
          </w:r>
          <w:r>
            <w:fldChar w:fldCharType="end"/>
          </w:r>
          <w:r>
            <w:rPr>
              <w:bCs/>
              <w:lang w:val="zh-CN"/>
            </w:rPr>
            <w:fldChar w:fldCharType="end"/>
          </w:r>
        </w:p>
        <w:p w14:paraId="6C960E22">
          <w:pPr>
            <w:pStyle w:val="74"/>
            <w:tabs>
              <w:tab w:val="right" w:leader="dot" w:pos="9865"/>
              <w:tab w:val="clear" w:pos="9855"/>
            </w:tabs>
          </w:pPr>
          <w:r>
            <w:rPr>
              <w:bCs/>
              <w:lang w:val="zh-CN"/>
            </w:rPr>
            <w:fldChar w:fldCharType="begin"/>
          </w:r>
          <w:r>
            <w:rPr>
              <w:bCs/>
              <w:lang w:val="zh-CN"/>
            </w:rPr>
            <w:instrText xml:space="preserve"> HYPERLINK \l _Toc19205 </w:instrText>
          </w:r>
          <w:r>
            <w:rPr>
              <w:bCs/>
              <w:lang w:val="zh-CN"/>
            </w:rPr>
            <w:fldChar w:fldCharType="separate"/>
          </w:r>
          <w:r>
            <w:rPr>
              <w:rFonts w:hint="eastAsia"/>
            </w:rPr>
            <w:t>5.1 施工技术要求</w:t>
          </w:r>
          <w:r>
            <w:tab/>
          </w:r>
          <w:r>
            <w:fldChar w:fldCharType="begin"/>
          </w:r>
          <w:r>
            <w:instrText xml:space="preserve"> PAGEREF _Toc19205 \h </w:instrText>
          </w:r>
          <w:r>
            <w:fldChar w:fldCharType="separate"/>
          </w:r>
          <w:r>
            <w:t>21</w:t>
          </w:r>
          <w:r>
            <w:fldChar w:fldCharType="end"/>
          </w:r>
          <w:r>
            <w:rPr>
              <w:bCs/>
              <w:lang w:val="zh-CN"/>
            </w:rPr>
            <w:fldChar w:fldCharType="end"/>
          </w:r>
        </w:p>
        <w:p w14:paraId="6D1498AD">
          <w:pPr>
            <w:pStyle w:val="74"/>
            <w:tabs>
              <w:tab w:val="right" w:leader="dot" w:pos="9865"/>
              <w:tab w:val="clear" w:pos="9855"/>
            </w:tabs>
          </w:pPr>
          <w:r>
            <w:rPr>
              <w:bCs/>
              <w:lang w:val="zh-CN"/>
            </w:rPr>
            <w:fldChar w:fldCharType="begin"/>
          </w:r>
          <w:r>
            <w:rPr>
              <w:bCs/>
              <w:lang w:val="zh-CN"/>
            </w:rPr>
            <w:instrText xml:space="preserve"> HYPERLINK \l _Toc4644 </w:instrText>
          </w:r>
          <w:r>
            <w:rPr>
              <w:bCs/>
              <w:lang w:val="zh-CN"/>
            </w:rPr>
            <w:fldChar w:fldCharType="separate"/>
          </w:r>
          <w:r>
            <w:rPr>
              <w:rFonts w:hint="eastAsia"/>
            </w:rPr>
            <w:t>5.2 路面施工注意事项</w:t>
          </w:r>
          <w:r>
            <w:tab/>
          </w:r>
          <w:r>
            <w:fldChar w:fldCharType="begin"/>
          </w:r>
          <w:r>
            <w:instrText xml:space="preserve"> PAGEREF _Toc4644 \h </w:instrText>
          </w:r>
          <w:r>
            <w:fldChar w:fldCharType="separate"/>
          </w:r>
          <w:r>
            <w:t>21</w:t>
          </w:r>
          <w:r>
            <w:fldChar w:fldCharType="end"/>
          </w:r>
          <w:r>
            <w:rPr>
              <w:bCs/>
              <w:lang w:val="zh-CN"/>
            </w:rPr>
            <w:fldChar w:fldCharType="end"/>
          </w:r>
        </w:p>
        <w:p w14:paraId="4AE06739">
          <w:pPr>
            <w:pStyle w:val="74"/>
            <w:tabs>
              <w:tab w:val="right" w:leader="dot" w:pos="9865"/>
              <w:tab w:val="clear" w:pos="9855"/>
            </w:tabs>
          </w:pPr>
          <w:r>
            <w:rPr>
              <w:bCs/>
              <w:lang w:val="zh-CN"/>
            </w:rPr>
            <w:fldChar w:fldCharType="begin"/>
          </w:r>
          <w:r>
            <w:rPr>
              <w:bCs/>
              <w:lang w:val="zh-CN"/>
            </w:rPr>
            <w:instrText xml:space="preserve"> HYPERLINK \l _Toc31529 </w:instrText>
          </w:r>
          <w:r>
            <w:rPr>
              <w:bCs/>
              <w:lang w:val="zh-CN"/>
            </w:rPr>
            <w:fldChar w:fldCharType="separate"/>
          </w:r>
          <w:r>
            <w:rPr>
              <w:rFonts w:hint="eastAsia"/>
            </w:rPr>
            <w:t>5.3 安全生产、环境及职业健康安全管理</w:t>
          </w:r>
          <w:r>
            <w:tab/>
          </w:r>
          <w:r>
            <w:fldChar w:fldCharType="begin"/>
          </w:r>
          <w:r>
            <w:instrText xml:space="preserve"> PAGEREF _Toc31529 \h </w:instrText>
          </w:r>
          <w:r>
            <w:fldChar w:fldCharType="separate"/>
          </w:r>
          <w:r>
            <w:t>22</w:t>
          </w:r>
          <w:r>
            <w:fldChar w:fldCharType="end"/>
          </w:r>
          <w:r>
            <w:rPr>
              <w:bCs/>
              <w:lang w:val="zh-CN"/>
            </w:rPr>
            <w:fldChar w:fldCharType="end"/>
          </w:r>
        </w:p>
        <w:p w14:paraId="630E0ACB">
          <w:pPr>
            <w:pStyle w:val="74"/>
            <w:tabs>
              <w:tab w:val="right" w:leader="dot" w:pos="9865"/>
              <w:tab w:val="clear" w:pos="9855"/>
            </w:tabs>
          </w:pPr>
          <w:r>
            <w:rPr>
              <w:bCs/>
              <w:lang w:val="zh-CN"/>
            </w:rPr>
            <w:fldChar w:fldCharType="begin"/>
          </w:r>
          <w:r>
            <w:rPr>
              <w:bCs/>
              <w:lang w:val="zh-CN"/>
            </w:rPr>
            <w:instrText xml:space="preserve"> HYPERLINK \l _Toc16032 </w:instrText>
          </w:r>
          <w:r>
            <w:rPr>
              <w:bCs/>
              <w:lang w:val="zh-CN"/>
            </w:rPr>
            <w:fldChar w:fldCharType="separate"/>
          </w:r>
          <w:r>
            <w:rPr>
              <w:rFonts w:hint="eastAsia"/>
            </w:rPr>
            <w:t>5.4 危险性较大的分部分项工程对应部位与环节识别及措施的总体要求</w:t>
          </w:r>
          <w:r>
            <w:tab/>
          </w:r>
          <w:r>
            <w:fldChar w:fldCharType="begin"/>
          </w:r>
          <w:r>
            <w:instrText xml:space="preserve"> PAGEREF _Toc16032 \h </w:instrText>
          </w:r>
          <w:r>
            <w:fldChar w:fldCharType="separate"/>
          </w:r>
          <w:r>
            <w:t>22</w:t>
          </w:r>
          <w:r>
            <w:fldChar w:fldCharType="end"/>
          </w:r>
          <w:r>
            <w:rPr>
              <w:bCs/>
              <w:lang w:val="zh-CN"/>
            </w:rPr>
            <w:fldChar w:fldCharType="end"/>
          </w:r>
        </w:p>
        <w:p w14:paraId="43F99818">
          <w:pPr>
            <w:pStyle w:val="59"/>
            <w:tabs>
              <w:tab w:val="right" w:leader="dot" w:pos="9865"/>
            </w:tabs>
          </w:pPr>
          <w:r>
            <w:rPr>
              <w:bCs/>
              <w:lang w:val="zh-CN"/>
            </w:rPr>
            <w:fldChar w:fldCharType="begin"/>
          </w:r>
          <w:r>
            <w:rPr>
              <w:bCs/>
              <w:lang w:val="zh-CN"/>
            </w:rPr>
            <w:instrText xml:space="preserve"> HYPERLINK \l _Toc2963 </w:instrText>
          </w:r>
          <w:r>
            <w:rPr>
              <w:bCs/>
              <w:lang w:val="zh-CN"/>
            </w:rPr>
            <w:fldChar w:fldCharType="separate"/>
          </w:r>
          <w:r>
            <w:rPr>
              <w:rFonts w:hint="eastAsia"/>
            </w:rPr>
            <w:t>第六章 附件</w:t>
          </w:r>
          <w:r>
            <w:tab/>
          </w:r>
          <w:r>
            <w:fldChar w:fldCharType="begin"/>
          </w:r>
          <w:r>
            <w:instrText xml:space="preserve"> PAGEREF _Toc2963 \h </w:instrText>
          </w:r>
          <w:r>
            <w:fldChar w:fldCharType="separate"/>
          </w:r>
          <w:r>
            <w:t>24</w:t>
          </w:r>
          <w:r>
            <w:fldChar w:fldCharType="end"/>
          </w:r>
          <w:r>
            <w:rPr>
              <w:bCs/>
              <w:lang w:val="zh-CN"/>
            </w:rPr>
            <w:fldChar w:fldCharType="end"/>
          </w:r>
        </w:p>
        <w:p w14:paraId="3B040565">
          <w:pPr>
            <w:ind w:firstLine="0" w:firstLineChars="0"/>
          </w:pPr>
          <w:r>
            <w:rPr>
              <w:bCs/>
              <w:lang w:val="zh-CN"/>
            </w:rPr>
            <w:fldChar w:fldCharType="end"/>
          </w:r>
        </w:p>
      </w:sdtContent>
    </w:sdt>
    <w:p w14:paraId="3DE32FF8">
      <w:pPr>
        <w:ind w:firstLine="0" w:firstLineChars="0"/>
        <w:jc w:val="center"/>
        <w:rPr>
          <w:rFonts w:hint="eastAsia"/>
          <w:b/>
          <w:bCs/>
          <w:sz w:val="36"/>
          <w:szCs w:val="36"/>
        </w:rPr>
        <w:sectPr>
          <w:headerReference r:id="rId13" w:type="first"/>
          <w:footerReference r:id="rId16" w:type="first"/>
          <w:headerReference r:id="rId11" w:type="default"/>
          <w:footerReference r:id="rId14" w:type="default"/>
          <w:headerReference r:id="rId12" w:type="even"/>
          <w:footerReference r:id="rId15" w:type="even"/>
          <w:pgSz w:w="23811" w:h="16838" w:orient="landscape"/>
          <w:pgMar w:top="1418" w:right="1440" w:bottom="1134" w:left="1440" w:header="680" w:footer="737" w:gutter="0"/>
          <w:pgNumType w:fmt="decimal" w:start="1"/>
          <w:cols w:space="1201" w:num="2"/>
          <w:docGrid w:type="lines" w:linePitch="326" w:charSpace="0"/>
        </w:sectPr>
      </w:pPr>
    </w:p>
    <w:p w14:paraId="2647582A">
      <w:pPr>
        <w:ind w:firstLine="0" w:firstLineChars="0"/>
        <w:jc w:val="center"/>
        <w:rPr>
          <w:b/>
          <w:bCs/>
          <w:sz w:val="36"/>
          <w:szCs w:val="36"/>
        </w:rPr>
      </w:pPr>
      <w:r>
        <w:rPr>
          <w:rFonts w:hint="eastAsia"/>
          <w:b/>
          <w:bCs/>
          <w:sz w:val="36"/>
          <w:szCs w:val="36"/>
        </w:rPr>
        <w:t>市政道路说明</w:t>
      </w:r>
    </w:p>
    <w:p w14:paraId="1A0E07D2">
      <w:pPr>
        <w:pStyle w:val="3"/>
        <w:spacing w:before="163" w:after="163"/>
      </w:pPr>
      <w:bookmarkStart w:id="1" w:name="_Toc18457"/>
      <w:r>
        <w:rPr>
          <w:rFonts w:hint="eastAsia"/>
        </w:rPr>
        <w:t>概述</w:t>
      </w:r>
      <w:bookmarkEnd w:id="1"/>
    </w:p>
    <w:p w14:paraId="274EBE7C">
      <w:pPr>
        <w:pStyle w:val="4"/>
        <w:spacing w:before="163" w:after="163"/>
        <w:ind w:firstLine="602"/>
      </w:pPr>
      <w:bookmarkStart w:id="2" w:name="_Toc71703533"/>
      <w:bookmarkStart w:id="3" w:name="_Toc24611"/>
      <w:bookmarkStart w:id="4" w:name="_Toc68620597"/>
      <w:r>
        <w:rPr>
          <w:rFonts w:hint="eastAsia"/>
        </w:rPr>
        <w:t>任务依据</w:t>
      </w:r>
      <w:bookmarkEnd w:id="2"/>
      <w:bookmarkEnd w:id="3"/>
      <w:bookmarkEnd w:id="4"/>
      <w:bookmarkStart w:id="5" w:name="_Hlk68622050"/>
    </w:p>
    <w:p w14:paraId="12EE618F">
      <w:pPr>
        <w:pStyle w:val="5"/>
        <w:spacing w:before="163" w:after="163"/>
        <w:ind w:firstLine="560"/>
      </w:pPr>
      <w:bookmarkStart w:id="6" w:name="_Toc13348"/>
      <w:bookmarkStart w:id="7" w:name="_Toc68620598"/>
      <w:bookmarkStart w:id="8" w:name="_Toc71703534"/>
      <w:r>
        <w:rPr>
          <w:rFonts w:hint="eastAsia"/>
        </w:rPr>
        <w:t>项目概况</w:t>
      </w:r>
      <w:bookmarkEnd w:id="6"/>
      <w:bookmarkEnd w:id="7"/>
      <w:bookmarkEnd w:id="8"/>
    </w:p>
    <w:p w14:paraId="5E215B80">
      <w:pPr>
        <w:ind w:firstLine="480"/>
        <w:rPr>
          <w:rFonts w:hint="eastAsia" w:eastAsia="宋体"/>
          <w:lang w:eastAsia="zh-CN"/>
        </w:rPr>
      </w:pPr>
      <w:r>
        <w:rPr>
          <w:rFonts w:hint="eastAsia"/>
        </w:rPr>
        <w:t>（1）项目名称：</w:t>
      </w:r>
      <w:r>
        <w:rPr>
          <w:rFonts w:hint="eastAsia" w:ascii="宋体" w:hAnsi="宋体"/>
          <w:bCs/>
          <w:lang w:eastAsia="zh-CN"/>
        </w:rPr>
        <w:t>广州空港经济区拆迁安置区（花东安置区）教育配套设施建设项目</w:t>
      </w:r>
    </w:p>
    <w:p w14:paraId="40C03250">
      <w:pPr>
        <w:ind w:firstLine="480"/>
        <w:rPr>
          <w:rFonts w:hint="eastAsia" w:eastAsia="宋体"/>
          <w:lang w:eastAsia="zh-CN"/>
        </w:rPr>
      </w:pPr>
      <w:r>
        <w:rPr>
          <w:rFonts w:hint="eastAsia"/>
        </w:rPr>
        <w:t>（2）建设单位：</w:t>
      </w:r>
      <w:r>
        <w:rPr>
          <w:rFonts w:hint="eastAsia" w:ascii="宋体" w:hAnsi="宋体"/>
          <w:bCs/>
          <w:lang w:eastAsia="zh-CN"/>
        </w:rPr>
        <w:t>广州空港经济区管理委员会、广州空港建设运营集团有限公司</w:t>
      </w:r>
    </w:p>
    <w:p w14:paraId="285707B9">
      <w:pPr>
        <w:ind w:firstLine="480"/>
      </w:pPr>
      <w:r>
        <w:rPr>
          <w:rFonts w:hint="eastAsia"/>
        </w:rPr>
        <w:t>（3）项目地点：花都区花东镇（</w:t>
      </w:r>
      <w:r>
        <w:rPr>
          <w:rFonts w:hint="eastAsia"/>
          <w:bCs/>
        </w:rPr>
        <w:t>花都大道及机场北进场路交叉口东北侧），临近迳口中学。</w:t>
      </w:r>
    </w:p>
    <w:p w14:paraId="0FDB9483">
      <w:pPr>
        <w:ind w:firstLine="480"/>
        <w:rPr>
          <w:rFonts w:hint="eastAsia" w:ascii="宋体" w:hAnsi="宋体" w:eastAsia="宋体"/>
          <w:bCs/>
          <w:lang w:eastAsia="zh-CN"/>
        </w:rPr>
      </w:pPr>
      <w:r>
        <w:rPr>
          <w:rFonts w:hint="eastAsia"/>
        </w:rPr>
        <w:t>（4）工程设计内容：本图纸市政道路为</w:t>
      </w:r>
      <w:r>
        <w:rPr>
          <w:rFonts w:hint="eastAsia" w:ascii="宋体" w:hAnsi="宋体"/>
          <w:bCs/>
        </w:rPr>
        <w:t>广州空港经济区拆迁安置区（花东安置区）教育配套设施建设项目</w:t>
      </w:r>
      <w:r>
        <w:rPr>
          <w:rFonts w:hint="eastAsia" w:ascii="宋体" w:hAnsi="宋体"/>
          <w:bCs/>
          <w:lang w:val="en-US" w:eastAsia="zh-CN"/>
        </w:rPr>
        <w:t>市政配套项目</w:t>
      </w:r>
      <w:r>
        <w:rPr>
          <w:rFonts w:hint="eastAsia" w:ascii="宋体" w:hAnsi="宋体"/>
          <w:bCs/>
        </w:rPr>
        <w:t>，主要内容包括：</w:t>
      </w:r>
      <w:r>
        <w:rPr>
          <w:rFonts w:hint="eastAsia" w:ascii="宋体" w:hAnsi="宋体"/>
          <w:bCs/>
          <w:lang w:eastAsia="zh-CN"/>
        </w:rPr>
        <w:t>道路工程、交通工程、给排水工程、海绵城市、照明工程、绿化工程、临时道路。</w:t>
      </w:r>
    </w:p>
    <w:p w14:paraId="795D4A2E">
      <w:pPr>
        <w:ind w:firstLine="480"/>
        <w:rPr>
          <w:rFonts w:ascii="宋体" w:hAnsi="宋体"/>
          <w:bCs/>
        </w:rPr>
      </w:pPr>
      <w:r>
        <w:rPr>
          <w:rFonts w:hint="eastAsia" w:ascii="宋体" w:hAnsi="宋体"/>
          <w:bCs/>
        </w:rPr>
        <w:t>图纸共分为</w:t>
      </w:r>
      <w:r>
        <w:rPr>
          <w:rFonts w:hint="eastAsia" w:ascii="宋体" w:hAnsi="宋体"/>
          <w:bCs/>
          <w:lang w:val="en-US" w:eastAsia="zh-CN"/>
        </w:rPr>
        <w:t>八</w:t>
      </w:r>
      <w:r>
        <w:rPr>
          <w:rFonts w:hint="eastAsia" w:ascii="宋体" w:hAnsi="宋体"/>
          <w:bCs/>
        </w:rPr>
        <w:t>册，本册图纸为第一册：道路工程。</w:t>
      </w:r>
    </w:p>
    <w:p w14:paraId="202F714C">
      <w:pPr>
        <w:ind w:firstLine="0" w:firstLineChars="0"/>
        <w:jc w:val="center"/>
      </w:pPr>
      <w:r>
        <w:drawing>
          <wp:inline distT="0" distB="0" distL="114300" distR="114300">
            <wp:extent cx="5564505" cy="4500245"/>
            <wp:effectExtent l="0" t="0" r="17145" b="146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0"/>
                    <a:stretch>
                      <a:fillRect/>
                    </a:stretch>
                  </pic:blipFill>
                  <pic:spPr>
                    <a:xfrm>
                      <a:off x="0" y="0"/>
                      <a:ext cx="5564505" cy="4500245"/>
                    </a:xfrm>
                    <a:prstGeom prst="rect">
                      <a:avLst/>
                    </a:prstGeom>
                    <a:noFill/>
                    <a:ln>
                      <a:noFill/>
                    </a:ln>
                  </pic:spPr>
                </pic:pic>
              </a:graphicData>
            </a:graphic>
          </wp:inline>
        </w:drawing>
      </w:r>
    </w:p>
    <w:p w14:paraId="571A3A90">
      <w:pPr>
        <w:ind w:firstLine="0" w:firstLineChars="0"/>
        <w:jc w:val="center"/>
        <w:rPr>
          <w:b/>
          <w:bCs/>
        </w:rPr>
      </w:pPr>
      <w:r>
        <w:rPr>
          <w:rFonts w:hint="eastAsia"/>
          <w:b/>
          <w:bCs/>
        </w:rPr>
        <w:t>项目地理位置图</w:t>
      </w:r>
    </w:p>
    <w:p w14:paraId="24458ADE">
      <w:pPr>
        <w:pStyle w:val="5"/>
        <w:spacing w:before="163" w:after="163"/>
        <w:ind w:firstLine="560"/>
      </w:pPr>
      <w:bookmarkStart w:id="9" w:name="_Toc71703535"/>
      <w:bookmarkStart w:id="10" w:name="_Toc68620599"/>
      <w:bookmarkStart w:id="11" w:name="_Toc4789"/>
      <w:r>
        <w:rPr>
          <w:rFonts w:hint="eastAsia"/>
        </w:rPr>
        <w:t>编制依据</w:t>
      </w:r>
      <w:bookmarkEnd w:id="9"/>
      <w:bookmarkEnd w:id="10"/>
      <w:bookmarkEnd w:id="11"/>
    </w:p>
    <w:p w14:paraId="1AED3759">
      <w:pPr>
        <w:ind w:firstLine="480"/>
      </w:pPr>
      <w:bookmarkStart w:id="12" w:name="_Hlk66970842"/>
      <w:r>
        <w:rPr>
          <w:rFonts w:hint="eastAsia"/>
        </w:rPr>
        <w:t>（1）</w:t>
      </w:r>
      <w:r>
        <w:t>《广州市</w:t>
      </w:r>
      <w:r>
        <w:rPr>
          <w:rFonts w:hint="eastAsia"/>
        </w:rPr>
        <w:t>城乡规划技术规定》（市长令133号）附表《广州市</w:t>
      </w:r>
      <w:r>
        <w:t>社区设施设置标准》（201</w:t>
      </w:r>
      <w:r>
        <w:rPr>
          <w:rFonts w:hint="eastAsia"/>
        </w:rPr>
        <w:t>5</w:t>
      </w:r>
      <w:r>
        <w:t>年版）</w:t>
      </w:r>
      <w:r>
        <w:rPr>
          <w:rFonts w:hint="eastAsia"/>
        </w:rPr>
        <w:t>；</w:t>
      </w:r>
    </w:p>
    <w:p w14:paraId="19711CDD">
      <w:pPr>
        <w:ind w:firstLine="480"/>
      </w:pPr>
      <w:r>
        <w:rPr>
          <w:rFonts w:hint="eastAsia"/>
        </w:rPr>
        <w:t>（2）《市长办公会议纪要》（穗市长会纪〔2013〕70号）；</w:t>
      </w:r>
    </w:p>
    <w:p w14:paraId="236D015C">
      <w:pPr>
        <w:ind w:firstLine="480"/>
      </w:pPr>
      <w:r>
        <w:rPr>
          <w:rFonts w:hint="eastAsia"/>
        </w:rPr>
        <w:t>（3）《广州市城市总体规划（2017-2035）》；</w:t>
      </w:r>
    </w:p>
    <w:p w14:paraId="27D9ED4E">
      <w:pPr>
        <w:ind w:firstLine="480"/>
      </w:pPr>
      <w:r>
        <w:rPr>
          <w:rFonts w:hint="eastAsia"/>
        </w:rPr>
        <w:t>（4）《广州市土地利用总体规划（2010-2020）》；</w:t>
      </w:r>
    </w:p>
    <w:p w14:paraId="6E719CBB">
      <w:pPr>
        <w:ind w:firstLine="480"/>
      </w:pPr>
      <w:r>
        <w:rPr>
          <w:rFonts w:hint="eastAsia"/>
        </w:rPr>
        <w:t>（5）《花都区功能片区土地利用总体规划（2013-2020年）》；</w:t>
      </w:r>
    </w:p>
    <w:p w14:paraId="17969225">
      <w:pPr>
        <w:ind w:firstLine="480"/>
      </w:pPr>
      <w:r>
        <w:rPr>
          <w:rFonts w:hint="eastAsia"/>
        </w:rPr>
        <w:t>（6）《广州空港经济区起步区控制性详细规划修编》；</w:t>
      </w:r>
    </w:p>
    <w:p w14:paraId="0671519D">
      <w:pPr>
        <w:ind w:firstLine="480"/>
      </w:pPr>
      <w:r>
        <w:rPr>
          <w:rFonts w:hint="eastAsia"/>
        </w:rPr>
        <w:t>（7）《广州市人民政府关于印发推进广州国际航空枢纽和临空经济示范区建设三年行动计划（2017—2019年）的通知》（穗府函[2017]111号）；</w:t>
      </w:r>
    </w:p>
    <w:p w14:paraId="4454A20B">
      <w:pPr>
        <w:ind w:firstLine="480"/>
        <w:rPr>
          <w:rFonts w:hint="eastAsia"/>
          <w:bCs/>
        </w:rPr>
      </w:pPr>
      <w:r>
        <w:rPr>
          <w:rFonts w:hint="eastAsia"/>
        </w:rPr>
        <w:t>（8）</w:t>
      </w:r>
      <w:r>
        <w:rPr>
          <w:rFonts w:hint="eastAsia"/>
          <w:bCs/>
        </w:rPr>
        <w:t>《广州空港经济区起步区征地拆迁安置指挥部印发关于推进广州空港经济区起步区二期用地征地工作的实施方案的通知》（空港征拆办[2017]1号）；</w:t>
      </w:r>
    </w:p>
    <w:p w14:paraId="02814B20">
      <w:pPr>
        <w:ind w:firstLine="480"/>
        <w:jc w:val="left"/>
        <w:rPr>
          <w:rFonts w:hint="eastAsia"/>
          <w:color w:val="FF0000"/>
          <w:lang w:val="en-US" w:eastAsia="zh-CN"/>
        </w:rPr>
      </w:pPr>
      <w:r>
        <w:rPr>
          <w:rFonts w:hint="eastAsia"/>
          <w:color w:val="FF0000"/>
          <w:lang w:eastAsia="zh-CN"/>
        </w:rPr>
        <w:t>（</w:t>
      </w:r>
      <w:r>
        <w:rPr>
          <w:rFonts w:hint="eastAsia"/>
          <w:color w:val="FF0000"/>
          <w:lang w:val="en-US" w:eastAsia="zh-CN"/>
        </w:rPr>
        <w:t>9</w:t>
      </w:r>
      <w:r>
        <w:rPr>
          <w:rFonts w:hint="eastAsia"/>
          <w:color w:val="FF0000"/>
          <w:lang w:eastAsia="zh-CN"/>
        </w:rPr>
        <w:t>）</w:t>
      </w:r>
      <w:r>
        <w:rPr>
          <w:rFonts w:hint="eastAsia"/>
          <w:color w:val="FF0000"/>
        </w:rPr>
        <w:t>广州空港经济区拆迁安置区(花东安置区)教育配套设施建设项目初步设计技术评审意见</w:t>
      </w:r>
      <w:r>
        <w:rPr>
          <w:rFonts w:hint="eastAsia"/>
          <w:color w:val="FF0000"/>
          <w:lang w:val="en-US" w:eastAsia="zh-CN"/>
        </w:rPr>
        <w:t xml:space="preserve"> </w:t>
      </w:r>
    </w:p>
    <w:p w14:paraId="065BEFCB">
      <w:pPr>
        <w:ind w:firstLine="480"/>
        <w:jc w:val="left"/>
        <w:rPr>
          <w:rFonts w:hint="eastAsia"/>
          <w:color w:val="FF0000"/>
          <w:lang w:val="en-US" w:eastAsia="zh-CN"/>
        </w:rPr>
      </w:pPr>
      <w:r>
        <w:rPr>
          <w:rFonts w:hint="eastAsia"/>
          <w:color w:val="FF0000"/>
          <w:lang w:val="en-US" w:eastAsia="zh-CN"/>
        </w:rPr>
        <w:t>（10）关于广州空港经济区拆迁安置区（花东安置区）教育配套设施初步设计及概算的批复（穗空港建设业务〔2025〕1号）</w:t>
      </w:r>
    </w:p>
    <w:bookmarkEnd w:id="12"/>
    <w:p w14:paraId="13A097B7">
      <w:pPr>
        <w:ind w:firstLine="480"/>
      </w:pPr>
      <w:r>
        <w:rPr>
          <w:rFonts w:hint="eastAsia"/>
        </w:rPr>
        <w:t>（</w:t>
      </w:r>
      <w:r>
        <w:rPr>
          <w:rFonts w:hint="eastAsia"/>
          <w:lang w:val="en-US" w:eastAsia="zh-CN"/>
        </w:rPr>
        <w:t>11</w:t>
      </w:r>
      <w:r>
        <w:rPr>
          <w:rFonts w:hint="eastAsia"/>
        </w:rPr>
        <w:t>）业主提供的相关资料。</w:t>
      </w:r>
    </w:p>
    <w:p w14:paraId="12E8FA5C">
      <w:pPr>
        <w:pStyle w:val="5"/>
        <w:spacing w:before="163" w:after="163"/>
        <w:ind w:firstLine="560"/>
      </w:pPr>
      <w:bookmarkStart w:id="13" w:name="_Toc71703536"/>
      <w:bookmarkStart w:id="14" w:name="_Toc68620600"/>
      <w:bookmarkStart w:id="15" w:name="_Toc6776"/>
      <w:r>
        <w:rPr>
          <w:rFonts w:hint="eastAsia"/>
        </w:rPr>
        <w:t>主要设计规范</w:t>
      </w:r>
      <w:bookmarkEnd w:id="13"/>
      <w:bookmarkEnd w:id="14"/>
      <w:bookmarkEnd w:id="15"/>
    </w:p>
    <w:p w14:paraId="549ECDA7">
      <w:pPr>
        <w:ind w:firstLine="480"/>
      </w:pPr>
      <w:r>
        <w:rPr>
          <w:rFonts w:hint="eastAsia"/>
        </w:rPr>
        <w:t>（1）《工程设计标准强制性条文》（城市建设工程部分）（2013版）；</w:t>
      </w:r>
    </w:p>
    <w:p w14:paraId="0ED95BB7">
      <w:pPr>
        <w:ind w:firstLine="480"/>
      </w:pPr>
      <w:r>
        <w:rPr>
          <w:rFonts w:hint="eastAsia"/>
        </w:rPr>
        <w:t>（</w:t>
      </w:r>
      <w:r>
        <w:t>2</w:t>
      </w:r>
      <w:r>
        <w:rPr>
          <w:rFonts w:hint="eastAsia"/>
        </w:rPr>
        <w:t>）《市政公用工程设计文件编制深度规定》（2013年版）</w:t>
      </w:r>
    </w:p>
    <w:p w14:paraId="43A0291D">
      <w:pPr>
        <w:ind w:firstLine="480"/>
        <w:rPr>
          <w:color w:val="FF0000"/>
        </w:rPr>
      </w:pPr>
      <w:r>
        <w:rPr>
          <w:rFonts w:hint="eastAsia"/>
          <w:color w:val="FF0000"/>
        </w:rPr>
        <w:t>（</w:t>
      </w:r>
      <w:r>
        <w:rPr>
          <w:color w:val="FF0000"/>
        </w:rPr>
        <w:t>3</w:t>
      </w:r>
      <w:r>
        <w:rPr>
          <w:rFonts w:hint="eastAsia"/>
          <w:color w:val="FF0000"/>
        </w:rPr>
        <w:t>）《城市道路</w:t>
      </w:r>
      <w:r>
        <w:rPr>
          <w:rFonts w:hint="eastAsia"/>
          <w:color w:val="FF0000"/>
          <w:lang w:val="en-US" w:eastAsia="zh-CN"/>
        </w:rPr>
        <w:t>工程</w:t>
      </w:r>
      <w:r>
        <w:rPr>
          <w:rFonts w:hint="eastAsia"/>
          <w:color w:val="FF0000"/>
        </w:rPr>
        <w:t>设计规范》（2016年版）CJJ37-2012；</w:t>
      </w:r>
    </w:p>
    <w:p w14:paraId="725608C3">
      <w:pPr>
        <w:ind w:firstLine="480"/>
      </w:pPr>
      <w:r>
        <w:rPr>
          <w:rFonts w:hint="eastAsia"/>
        </w:rPr>
        <w:t>（</w:t>
      </w:r>
      <w:r>
        <w:t>4</w:t>
      </w:r>
      <w:r>
        <w:rPr>
          <w:rFonts w:hint="eastAsia"/>
        </w:rPr>
        <w:t>）《城市道路路线设计规范》CJJ193-2012；</w:t>
      </w:r>
    </w:p>
    <w:p w14:paraId="3A755B1A">
      <w:pPr>
        <w:ind w:firstLine="480"/>
      </w:pPr>
      <w:r>
        <w:rPr>
          <w:rFonts w:hint="eastAsia"/>
        </w:rPr>
        <w:t>（</w:t>
      </w:r>
      <w:r>
        <w:t>5</w:t>
      </w:r>
      <w:r>
        <w:rPr>
          <w:rFonts w:hint="eastAsia"/>
        </w:rPr>
        <w:t>）《城市道路交叉口规划规范》（GB50647-2011）；</w:t>
      </w:r>
    </w:p>
    <w:p w14:paraId="699B08C3">
      <w:pPr>
        <w:ind w:firstLine="480"/>
      </w:pPr>
      <w:r>
        <w:rPr>
          <w:rFonts w:hint="eastAsia"/>
        </w:rPr>
        <w:t>（</w:t>
      </w:r>
      <w:r>
        <w:t>6</w:t>
      </w:r>
      <w:r>
        <w:rPr>
          <w:rFonts w:hint="eastAsia"/>
        </w:rPr>
        <w:t>）《城市道路交叉口设计规程》CJJ152-2010；</w:t>
      </w:r>
    </w:p>
    <w:p w14:paraId="7BAC1EA4">
      <w:pPr>
        <w:ind w:firstLine="480"/>
      </w:pPr>
      <w:r>
        <w:rPr>
          <w:rFonts w:hint="eastAsia"/>
        </w:rPr>
        <w:t>（</w:t>
      </w:r>
      <w:r>
        <w:t>7</w:t>
      </w:r>
      <w:r>
        <w:rPr>
          <w:rFonts w:hint="eastAsia"/>
        </w:rPr>
        <w:t>）《无障碍设计规范》GB50763-2012；</w:t>
      </w:r>
    </w:p>
    <w:p w14:paraId="152078CF">
      <w:pPr>
        <w:ind w:firstLine="480"/>
      </w:pPr>
      <w:r>
        <w:rPr>
          <w:rFonts w:hint="eastAsia"/>
        </w:rPr>
        <w:t>（</w:t>
      </w:r>
      <w:r>
        <w:t>8</w:t>
      </w:r>
      <w:r>
        <w:rPr>
          <w:rFonts w:hint="eastAsia"/>
        </w:rPr>
        <w:t>）《城市道路路基设计规范》CJJ194-2013；</w:t>
      </w:r>
    </w:p>
    <w:p w14:paraId="19C76129">
      <w:pPr>
        <w:ind w:firstLine="480"/>
      </w:pPr>
      <w:r>
        <w:rPr>
          <w:rFonts w:hint="eastAsia"/>
        </w:rPr>
        <w:t>（</w:t>
      </w:r>
      <w:r>
        <w:t>9</w:t>
      </w:r>
      <w:r>
        <w:rPr>
          <w:rFonts w:hint="eastAsia"/>
        </w:rPr>
        <w:t>）《城镇道路路面设计规范》CJJ169-2012；</w:t>
      </w:r>
    </w:p>
    <w:p w14:paraId="10E73212">
      <w:pPr>
        <w:ind w:firstLine="480"/>
        <w:rPr>
          <w:color w:val="FF0000"/>
        </w:rPr>
      </w:pPr>
      <w:r>
        <w:rPr>
          <w:rFonts w:hint="eastAsia"/>
          <w:color w:val="FF0000"/>
        </w:rPr>
        <w:t>（</w:t>
      </w:r>
      <w:r>
        <w:rPr>
          <w:color w:val="FF0000"/>
        </w:rPr>
        <w:t>10</w:t>
      </w:r>
      <w:r>
        <w:rPr>
          <w:rFonts w:hint="eastAsia"/>
          <w:color w:val="FF0000"/>
        </w:rPr>
        <w:t>）《室外排水设计标准》GB50014-20</w:t>
      </w:r>
      <w:r>
        <w:rPr>
          <w:rFonts w:hint="eastAsia"/>
          <w:color w:val="FF0000"/>
          <w:lang w:val="en-US" w:eastAsia="zh-CN"/>
        </w:rPr>
        <w:t>21</w:t>
      </w:r>
      <w:r>
        <w:rPr>
          <w:rFonts w:hint="eastAsia"/>
          <w:color w:val="FF0000"/>
        </w:rPr>
        <w:t>；</w:t>
      </w:r>
    </w:p>
    <w:p w14:paraId="10789DA8">
      <w:pPr>
        <w:ind w:firstLine="480"/>
      </w:pPr>
      <w:r>
        <w:rPr>
          <w:rFonts w:hint="eastAsia"/>
        </w:rPr>
        <w:t>（</w:t>
      </w:r>
      <w:r>
        <w:t>11</w:t>
      </w:r>
      <w:r>
        <w:rPr>
          <w:rFonts w:hint="eastAsia"/>
        </w:rPr>
        <w:t>）《城市道路照明设计标准》CJJ45-2015；</w:t>
      </w:r>
    </w:p>
    <w:p w14:paraId="27D22CE3">
      <w:pPr>
        <w:ind w:firstLine="480"/>
        <w:rPr>
          <w:rFonts w:hint="eastAsia" w:ascii="Times New Roman" w:hAnsi="Times New Roman" w:eastAsia="宋体"/>
          <w:color w:val="FF0000"/>
          <w:lang w:val="en-US" w:eastAsia="zh-CN"/>
        </w:rPr>
      </w:pPr>
      <w:r>
        <w:rPr>
          <w:rFonts w:hint="eastAsia" w:ascii="Times New Roman" w:hAnsi="Times New Roman" w:eastAsia="宋体"/>
          <w:color w:val="FF0000"/>
          <w:lang w:eastAsia="zh-CN"/>
        </w:rPr>
        <w:t>（</w:t>
      </w:r>
      <w:r>
        <w:rPr>
          <w:rFonts w:hint="eastAsia" w:ascii="Times New Roman" w:hAnsi="Times New Roman" w:eastAsia="宋体"/>
          <w:color w:val="FF0000"/>
          <w:lang w:val="en-US" w:eastAsia="zh-CN"/>
        </w:rPr>
        <w:t>12</w:t>
      </w:r>
      <w:r>
        <w:rPr>
          <w:rFonts w:hint="eastAsia" w:ascii="Times New Roman" w:hAnsi="Times New Roman" w:eastAsia="宋体"/>
          <w:color w:val="FF0000"/>
          <w:lang w:eastAsia="zh-CN"/>
        </w:rPr>
        <w:t>）《道路交通标志和标线 第2部分</w:t>
      </w:r>
      <w:r>
        <w:rPr>
          <w:rFonts w:hint="eastAsia" w:ascii="Times New Roman" w:hAnsi="Times New Roman" w:eastAsia="宋体"/>
          <w:color w:val="FF0000"/>
          <w:lang w:val="en-US" w:eastAsia="zh-CN"/>
        </w:rPr>
        <w:t xml:space="preserve"> </w:t>
      </w:r>
      <w:r>
        <w:rPr>
          <w:rFonts w:hint="eastAsia" w:ascii="Times New Roman" w:hAnsi="Times New Roman" w:eastAsia="宋体"/>
          <w:color w:val="FF0000"/>
          <w:lang w:eastAsia="zh-CN"/>
        </w:rPr>
        <w:t>道路交通标志》GB 5768</w:t>
      </w:r>
      <w:r>
        <w:rPr>
          <w:rFonts w:hint="eastAsia" w:ascii="Times New Roman" w:hAnsi="Times New Roman" w:eastAsia="宋体"/>
          <w:color w:val="FF0000"/>
          <w:lang w:val="en-US" w:eastAsia="zh-CN"/>
        </w:rPr>
        <w:t>.2</w:t>
      </w:r>
      <w:r>
        <w:rPr>
          <w:rFonts w:hint="eastAsia" w:ascii="Times New Roman" w:hAnsi="Times New Roman" w:eastAsia="宋体"/>
          <w:color w:val="FF0000"/>
          <w:lang w:eastAsia="zh-CN"/>
        </w:rPr>
        <w:t>-20</w:t>
      </w:r>
      <w:r>
        <w:rPr>
          <w:rFonts w:hint="eastAsia" w:ascii="Times New Roman" w:hAnsi="Times New Roman" w:eastAsia="宋体"/>
          <w:color w:val="FF0000"/>
          <w:lang w:val="en-US" w:eastAsia="zh-CN"/>
        </w:rPr>
        <w:t>22</w:t>
      </w:r>
    </w:p>
    <w:p w14:paraId="4D1CE2CF">
      <w:pPr>
        <w:ind w:firstLine="480"/>
        <w:rPr>
          <w:rFonts w:hint="eastAsia" w:ascii="Times New Roman" w:hAnsi="Times New Roman" w:eastAsia="宋体"/>
          <w:color w:val="FF0000"/>
          <w:lang w:val="en-US" w:eastAsia="zh-CN"/>
        </w:rPr>
      </w:pPr>
      <w:r>
        <w:rPr>
          <w:rFonts w:hint="eastAsia" w:ascii="Times New Roman" w:hAnsi="Times New Roman" w:eastAsia="宋体"/>
          <w:color w:val="FF0000"/>
          <w:lang w:eastAsia="zh-CN"/>
        </w:rPr>
        <w:t>（</w:t>
      </w:r>
      <w:r>
        <w:rPr>
          <w:rFonts w:hint="eastAsia" w:ascii="Times New Roman" w:hAnsi="Times New Roman" w:eastAsia="宋体"/>
          <w:color w:val="FF0000"/>
          <w:lang w:val="en-US" w:eastAsia="zh-CN"/>
        </w:rPr>
        <w:t>13</w:t>
      </w:r>
      <w:r>
        <w:rPr>
          <w:rFonts w:hint="eastAsia" w:ascii="Times New Roman" w:hAnsi="Times New Roman" w:eastAsia="宋体"/>
          <w:color w:val="FF0000"/>
          <w:lang w:eastAsia="zh-CN"/>
        </w:rPr>
        <w:t>）《道路交通标志和标线 第</w:t>
      </w:r>
      <w:r>
        <w:rPr>
          <w:rFonts w:hint="eastAsia" w:ascii="Times New Roman" w:hAnsi="Times New Roman" w:eastAsia="宋体"/>
          <w:color w:val="FF0000"/>
          <w:lang w:val="en-US" w:eastAsia="zh-CN"/>
        </w:rPr>
        <w:t>3</w:t>
      </w:r>
      <w:r>
        <w:rPr>
          <w:rFonts w:hint="eastAsia" w:ascii="Times New Roman" w:hAnsi="Times New Roman" w:eastAsia="宋体"/>
          <w:color w:val="FF0000"/>
          <w:lang w:eastAsia="zh-CN"/>
        </w:rPr>
        <w:t>部分</w:t>
      </w:r>
      <w:r>
        <w:rPr>
          <w:rFonts w:hint="eastAsia" w:ascii="Times New Roman" w:hAnsi="Times New Roman" w:eastAsia="宋体"/>
          <w:color w:val="FF0000"/>
          <w:lang w:val="en-US" w:eastAsia="zh-CN"/>
        </w:rPr>
        <w:t xml:space="preserve"> </w:t>
      </w:r>
      <w:r>
        <w:rPr>
          <w:rFonts w:hint="eastAsia" w:ascii="Times New Roman" w:hAnsi="Times New Roman" w:eastAsia="宋体"/>
          <w:color w:val="FF0000"/>
          <w:lang w:eastAsia="zh-CN"/>
        </w:rPr>
        <w:t>道路交通标线》GB 5768</w:t>
      </w:r>
      <w:r>
        <w:rPr>
          <w:rFonts w:hint="eastAsia" w:ascii="Times New Roman" w:hAnsi="Times New Roman" w:eastAsia="宋体"/>
          <w:color w:val="FF0000"/>
          <w:lang w:val="en-US" w:eastAsia="zh-CN"/>
        </w:rPr>
        <w:t>.3</w:t>
      </w:r>
      <w:r>
        <w:rPr>
          <w:rFonts w:hint="eastAsia" w:ascii="Times New Roman" w:hAnsi="Times New Roman" w:eastAsia="宋体"/>
          <w:color w:val="FF0000"/>
          <w:lang w:eastAsia="zh-CN"/>
        </w:rPr>
        <w:t>-20</w:t>
      </w:r>
      <w:r>
        <w:rPr>
          <w:rFonts w:hint="eastAsia" w:ascii="Times New Roman" w:hAnsi="Times New Roman" w:eastAsia="宋体"/>
          <w:color w:val="FF0000"/>
          <w:lang w:val="en-US" w:eastAsia="zh-CN"/>
        </w:rPr>
        <w:t>09</w:t>
      </w:r>
    </w:p>
    <w:p w14:paraId="33DBDC1E">
      <w:pPr>
        <w:ind w:firstLine="480"/>
        <w:rPr>
          <w:rFonts w:hint="eastAsia" w:ascii="Times New Roman" w:hAnsi="Times New Roman" w:eastAsia="宋体"/>
          <w:color w:val="FF0000"/>
        </w:rPr>
      </w:pPr>
      <w:r>
        <w:rPr>
          <w:rFonts w:hint="eastAsia" w:ascii="Times New Roman" w:hAnsi="Times New Roman" w:eastAsia="宋体"/>
          <w:color w:val="FF0000"/>
        </w:rPr>
        <w:t>（1</w:t>
      </w:r>
      <w:r>
        <w:rPr>
          <w:rFonts w:hint="eastAsia" w:ascii="Times New Roman" w:hAnsi="Times New Roman" w:eastAsia="宋体"/>
          <w:color w:val="FF0000"/>
          <w:lang w:val="en-US" w:eastAsia="zh-CN"/>
        </w:rPr>
        <w:t>4</w:t>
      </w:r>
      <w:r>
        <w:rPr>
          <w:rFonts w:hint="eastAsia" w:ascii="Times New Roman" w:hAnsi="Times New Roman" w:eastAsia="宋体"/>
          <w:color w:val="FF0000"/>
        </w:rPr>
        <w:t>）《城市桥梁设计规范》</w:t>
      </w:r>
      <w:r>
        <w:rPr>
          <w:rFonts w:hint="eastAsia"/>
          <w:color w:val="FF0000"/>
        </w:rPr>
        <w:t>（201</w:t>
      </w:r>
      <w:r>
        <w:rPr>
          <w:rFonts w:hint="eastAsia"/>
          <w:color w:val="FF0000"/>
          <w:lang w:val="en-US" w:eastAsia="zh-CN"/>
        </w:rPr>
        <w:t>9</w:t>
      </w:r>
      <w:r>
        <w:rPr>
          <w:rFonts w:hint="eastAsia"/>
          <w:color w:val="FF0000"/>
        </w:rPr>
        <w:t>年版）</w:t>
      </w:r>
      <w:r>
        <w:rPr>
          <w:rFonts w:hint="eastAsia" w:ascii="Times New Roman" w:hAnsi="Times New Roman" w:eastAsia="宋体"/>
          <w:color w:val="FF0000"/>
        </w:rPr>
        <w:t>（CJJ11-2011）</w:t>
      </w:r>
    </w:p>
    <w:p w14:paraId="0F8251F4">
      <w:pPr>
        <w:ind w:firstLine="480"/>
        <w:rPr>
          <w:rFonts w:hint="eastAsia" w:ascii="Times New Roman" w:hAnsi="Times New Roman" w:eastAsia="宋体"/>
        </w:rPr>
      </w:pPr>
      <w:r>
        <w:rPr>
          <w:rFonts w:hint="eastAsia" w:ascii="Times New Roman" w:hAnsi="Times New Roman" w:eastAsia="宋体"/>
        </w:rPr>
        <w:t>（1</w:t>
      </w:r>
      <w:r>
        <w:rPr>
          <w:rFonts w:hint="eastAsia" w:ascii="Times New Roman" w:hAnsi="Times New Roman" w:eastAsia="宋体"/>
          <w:lang w:val="en-US" w:eastAsia="zh-CN"/>
        </w:rPr>
        <w:t>5</w:t>
      </w:r>
      <w:r>
        <w:rPr>
          <w:rFonts w:hint="eastAsia" w:ascii="Times New Roman" w:hAnsi="Times New Roman" w:eastAsia="宋体"/>
        </w:rPr>
        <w:t>）《工程结构通用规范》（GB55001-2021）</w:t>
      </w:r>
    </w:p>
    <w:p w14:paraId="2B395851">
      <w:pPr>
        <w:ind w:firstLine="480"/>
      </w:pPr>
      <w:r>
        <w:rPr>
          <w:rFonts w:hint="eastAsia"/>
        </w:rPr>
        <w:t>（1</w:t>
      </w:r>
      <w:r>
        <w:rPr>
          <w:rFonts w:hint="eastAsia"/>
          <w:lang w:val="en-US" w:eastAsia="zh-CN"/>
        </w:rPr>
        <w:t>6</w:t>
      </w:r>
      <w:r>
        <w:rPr>
          <w:rFonts w:hint="eastAsia"/>
        </w:rPr>
        <w:t>）《建筑与市政工程抗震通用规范》（GB55002-2021）</w:t>
      </w:r>
    </w:p>
    <w:p w14:paraId="3FFCC693">
      <w:pPr>
        <w:ind w:firstLine="480"/>
      </w:pPr>
      <w:r>
        <w:rPr>
          <w:rFonts w:hint="eastAsia"/>
        </w:rPr>
        <w:t>（1</w:t>
      </w:r>
      <w:r>
        <w:rPr>
          <w:rFonts w:hint="eastAsia"/>
          <w:lang w:val="en-US" w:eastAsia="zh-CN"/>
        </w:rPr>
        <w:t>7</w:t>
      </w:r>
      <w:r>
        <w:rPr>
          <w:rFonts w:hint="eastAsia"/>
        </w:rPr>
        <w:t>）《建筑与市政地基基础通用规范》（GB55003-2021）</w:t>
      </w:r>
    </w:p>
    <w:p w14:paraId="31A61627">
      <w:pPr>
        <w:ind w:firstLine="480"/>
      </w:pPr>
      <w:r>
        <w:rPr>
          <w:rFonts w:hint="eastAsia"/>
        </w:rPr>
        <w:t>（1</w:t>
      </w:r>
      <w:r>
        <w:rPr>
          <w:rFonts w:hint="eastAsia"/>
          <w:lang w:val="en-US" w:eastAsia="zh-CN"/>
        </w:rPr>
        <w:t>8</w:t>
      </w:r>
      <w:r>
        <w:rPr>
          <w:rFonts w:hint="eastAsia"/>
        </w:rPr>
        <w:t>）《城市道路交通工程项目规范》（GB55011-2021）</w:t>
      </w:r>
    </w:p>
    <w:p w14:paraId="15992621">
      <w:pPr>
        <w:ind w:firstLine="480"/>
        <w:rPr>
          <w:rFonts w:hint="eastAsia"/>
        </w:rPr>
      </w:pPr>
      <w:r>
        <w:rPr>
          <w:rFonts w:hint="eastAsia"/>
        </w:rPr>
        <w:t>（1</w:t>
      </w:r>
      <w:r>
        <w:rPr>
          <w:rFonts w:hint="eastAsia"/>
          <w:lang w:val="en-US" w:eastAsia="zh-CN"/>
        </w:rPr>
        <w:t>9</w:t>
      </w:r>
      <w:r>
        <w:rPr>
          <w:rFonts w:hint="eastAsia"/>
        </w:rPr>
        <w:t>）《建筑与市政工程无障碍通用规范》（GB55019-2021）</w:t>
      </w:r>
    </w:p>
    <w:p w14:paraId="149830A9">
      <w:pPr>
        <w:ind w:firstLine="480"/>
      </w:pPr>
      <w:r>
        <w:rPr>
          <w:rFonts w:hint="eastAsia"/>
        </w:rPr>
        <w:t>（</w:t>
      </w:r>
      <w:r>
        <w:rPr>
          <w:rFonts w:hint="eastAsia"/>
          <w:lang w:val="en-US" w:eastAsia="zh-CN"/>
        </w:rPr>
        <w:t>20</w:t>
      </w:r>
      <w:r>
        <w:rPr>
          <w:rFonts w:hint="eastAsia"/>
        </w:rPr>
        <w:t>）国家现行的其他相关规范、规程、标准。</w:t>
      </w:r>
    </w:p>
    <w:p w14:paraId="7D9129E3">
      <w:pPr>
        <w:pStyle w:val="4"/>
        <w:spacing w:before="163" w:after="163"/>
        <w:ind w:firstLine="602"/>
      </w:pPr>
      <w:bookmarkStart w:id="16" w:name="_Toc16187"/>
      <w:bookmarkStart w:id="17" w:name="_Toc68620602"/>
      <w:bookmarkStart w:id="18" w:name="_Toc71703538"/>
      <w:r>
        <w:rPr>
          <w:rFonts w:hint="eastAsia"/>
        </w:rPr>
        <w:t>工程概况</w:t>
      </w:r>
      <w:bookmarkEnd w:id="16"/>
      <w:bookmarkEnd w:id="17"/>
      <w:bookmarkEnd w:id="18"/>
    </w:p>
    <w:p w14:paraId="4BBF55A5">
      <w:pPr>
        <w:ind w:firstLine="480"/>
        <w:rPr>
          <w:rFonts w:hint="eastAsia"/>
          <w:spacing w:val="1"/>
        </w:rPr>
      </w:pPr>
      <w:r>
        <w:rPr>
          <w:rFonts w:hint="eastAsia"/>
        </w:rPr>
        <w:t>本项目市政道路建设工程位于广州市花都区花东镇（</w:t>
      </w:r>
      <w:r>
        <w:rPr>
          <w:rFonts w:hint="eastAsia"/>
          <w:bCs/>
        </w:rPr>
        <w:t>花都大道及机场北进场路交叉口东北侧），临近迳口中学</w:t>
      </w:r>
      <w:r>
        <w:rPr>
          <w:rFonts w:hint="eastAsia"/>
        </w:rPr>
        <w:t>。</w:t>
      </w:r>
      <w:bookmarkStart w:id="19" w:name="_Hlk66960137"/>
      <w:r>
        <w:rPr>
          <w:rFonts w:hint="eastAsia"/>
          <w:snapToGrid w:val="0"/>
        </w:rPr>
        <w:t>根据规划及项目征地红线，</w:t>
      </w:r>
      <w:r>
        <w:rPr>
          <w:rFonts w:hint="eastAsia"/>
          <w:spacing w:val="1"/>
        </w:rPr>
        <w:t>本项目有</w:t>
      </w:r>
      <w:r>
        <w:rPr>
          <w:spacing w:val="1"/>
        </w:rPr>
        <w:t>1</w:t>
      </w:r>
      <w:r>
        <w:rPr>
          <w:rFonts w:hint="eastAsia"/>
          <w:spacing w:val="1"/>
        </w:rPr>
        <w:t>条市政道路纳入工程建设范围，为永安东路（机场北进场路至支路四）</w:t>
      </w:r>
      <w:r>
        <w:rPr>
          <w:rFonts w:hint="eastAsia"/>
        </w:rPr>
        <w:t>。</w:t>
      </w:r>
      <w:bookmarkStart w:id="20" w:name="_Hlk66971163"/>
      <w:r>
        <w:rPr>
          <w:rFonts w:hint="eastAsia"/>
          <w:spacing w:val="1"/>
        </w:rPr>
        <w:t>永安东路西起机场北进场路，东至支路四，</w:t>
      </w:r>
      <w:r>
        <w:rPr>
          <w:rFonts w:hint="eastAsia" w:ascii="宋体" w:hAnsi="宋体"/>
        </w:rPr>
        <w:t>全长为</w:t>
      </w:r>
      <w:r>
        <w:rPr>
          <w:rFonts w:ascii="宋体" w:hAnsi="宋体"/>
        </w:rPr>
        <w:t>302.271</w:t>
      </w:r>
      <w:r>
        <w:rPr>
          <w:rFonts w:hint="eastAsia" w:ascii="宋体" w:hAnsi="宋体"/>
        </w:rPr>
        <w:t>m</w:t>
      </w:r>
      <w:r>
        <w:rPr>
          <w:rFonts w:hint="eastAsia"/>
          <w:spacing w:val="1"/>
        </w:rPr>
        <w:t>，红线宽度</w:t>
      </w:r>
      <w:r>
        <w:rPr>
          <w:rFonts w:hint="eastAsia"/>
        </w:rPr>
        <w:t>为</w:t>
      </w:r>
      <w:r>
        <w:rPr>
          <w:spacing w:val="1"/>
        </w:rPr>
        <w:t>50m</w:t>
      </w:r>
      <w:r>
        <w:rPr>
          <w:rFonts w:hint="eastAsia"/>
          <w:spacing w:val="1"/>
        </w:rPr>
        <w:t>，采</w:t>
      </w:r>
      <w:r>
        <w:rPr>
          <w:rFonts w:hint="eastAsia"/>
          <w:spacing w:val="3"/>
        </w:rPr>
        <w:t>用城市次干路标准设计，设计时速</w:t>
      </w:r>
      <w:r>
        <w:rPr>
          <w:rFonts w:hint="eastAsia"/>
          <w:spacing w:val="2"/>
        </w:rPr>
        <w:t>为</w:t>
      </w:r>
      <w:r>
        <w:t>40km/h</w:t>
      </w:r>
      <w:r>
        <w:rPr>
          <w:rFonts w:hint="eastAsia"/>
        </w:rPr>
        <w:t>，</w:t>
      </w:r>
      <w:r>
        <w:rPr>
          <w:rFonts w:hint="eastAsia"/>
          <w:spacing w:val="4"/>
        </w:rPr>
        <w:t>双向六车道。</w:t>
      </w:r>
    </w:p>
    <w:bookmarkEnd w:id="20"/>
    <w:p w14:paraId="3A284F23">
      <w:pPr>
        <w:ind w:firstLine="480"/>
        <w:jc w:val="both"/>
        <w:rPr>
          <w:rFonts w:hint="eastAsia"/>
          <w:b w:val="0"/>
          <w:bCs w:val="0"/>
          <w:color w:val="auto"/>
          <w:spacing w:val="4"/>
          <w:lang w:val="en-US" w:eastAsia="zh-CN"/>
        </w:rPr>
      </w:pPr>
      <w:r>
        <w:rPr>
          <w:rFonts w:hint="eastAsia"/>
          <w:b/>
          <w:bCs/>
          <w:spacing w:val="4"/>
          <w:lang w:val="en-US" w:eastAsia="zh-CN"/>
        </w:rPr>
        <w:t>永安东路工程范围共分为两部分实施，其中本次设计范围为永安东路左半幅K0+259.439~K0+350.367，长度约90.9m，宽度约25m；</w:t>
      </w:r>
      <w:r>
        <w:rPr>
          <w:rFonts w:hint="eastAsia"/>
          <w:b w:val="0"/>
          <w:bCs w:val="0"/>
          <w:color w:val="auto"/>
          <w:spacing w:val="4"/>
          <w:lang w:val="en-US" w:eastAsia="zh-CN"/>
        </w:rPr>
        <w:t>另外部分（K0+048.096~K0+259.</w:t>
      </w:r>
    </w:p>
    <w:p w14:paraId="59CF36E9">
      <w:pPr>
        <w:ind w:left="0" w:leftChars="0" w:firstLine="0" w:firstLineChars="0"/>
        <w:jc w:val="both"/>
        <w:rPr>
          <w:rFonts w:hint="eastAsia"/>
          <w:b w:val="0"/>
          <w:bCs w:val="0"/>
          <w:color w:val="auto"/>
          <w:spacing w:val="4"/>
          <w:lang w:val="en-US" w:eastAsia="zh-CN"/>
        </w:rPr>
      </w:pPr>
      <w:r>
        <w:rPr>
          <w:rFonts w:hint="eastAsia"/>
          <w:b w:val="0"/>
          <w:bCs w:val="0"/>
          <w:color w:val="auto"/>
          <w:spacing w:val="4"/>
          <w:lang w:val="en-US" w:eastAsia="zh-CN"/>
        </w:rPr>
        <w:t>439整幅、K0+259.439~K0+350.367右半幅）由广州空港经济区起步区拆迁安置区（花东安置区）一期工程项目实施，目前广州空港经济区起步区拆迁安置区（花东安置区）一期工程项目已正在施工。</w:t>
      </w:r>
    </w:p>
    <w:p w14:paraId="0269C7F8">
      <w:pPr>
        <w:ind w:firstLine="480"/>
        <w:rPr>
          <w:rFonts w:hint="eastAsia"/>
          <w:b/>
          <w:bCs/>
          <w:spacing w:val="4"/>
          <w:lang w:val="en-US" w:eastAsia="zh-CN"/>
        </w:rPr>
      </w:pPr>
      <w:r>
        <w:rPr>
          <w:rFonts w:hint="eastAsia"/>
          <w:b/>
          <w:bCs/>
          <w:spacing w:val="4"/>
          <w:lang w:val="en-US" w:eastAsia="zh-CN"/>
        </w:rPr>
        <w:t>市政配套主要建设内容包括：道路工程、交通工程、给排水工程、海绵城市、照明工程、绿化工程、临时道路工程。</w:t>
      </w:r>
    </w:p>
    <w:p w14:paraId="7BBC6629">
      <w:pPr>
        <w:ind w:firstLine="480"/>
        <w:rPr>
          <w:rFonts w:cs="宋体"/>
        </w:rPr>
      </w:pPr>
      <w:r>
        <w:rPr>
          <w:rFonts w:cs="宋体"/>
        </w:rPr>
        <w:t>高程系统采用广州</w:t>
      </w:r>
      <w:r>
        <w:rPr>
          <w:rFonts w:hint="eastAsia" w:cs="宋体"/>
        </w:rPr>
        <w:t>城建</w:t>
      </w:r>
      <w:r>
        <w:rPr>
          <w:rFonts w:cs="宋体"/>
        </w:rPr>
        <w:t>高程系统</w:t>
      </w:r>
      <w:r>
        <w:rPr>
          <w:rFonts w:hint="eastAsia" w:cs="宋体"/>
        </w:rPr>
        <w:t>，</w:t>
      </w:r>
      <w:r>
        <w:rPr>
          <w:rFonts w:cs="宋体"/>
        </w:rPr>
        <w:t>坐标系采用广州</w:t>
      </w:r>
      <w:r>
        <w:rPr>
          <w:rFonts w:hint="eastAsia" w:cs="宋体"/>
        </w:rPr>
        <w:t>2</w:t>
      </w:r>
      <w:r>
        <w:rPr>
          <w:rFonts w:cs="宋体"/>
        </w:rPr>
        <w:t>000坐标系统</w:t>
      </w:r>
      <w:bookmarkEnd w:id="19"/>
      <w:r>
        <w:rPr>
          <w:rFonts w:hint="eastAsia" w:cs="宋体"/>
        </w:rPr>
        <w:t>。</w:t>
      </w:r>
    </w:p>
    <w:bookmarkEnd w:id="5"/>
    <w:p w14:paraId="333B56CB">
      <w:pPr>
        <w:pStyle w:val="4"/>
        <w:spacing w:before="163" w:after="163"/>
        <w:ind w:firstLine="602" w:firstLineChars="200"/>
      </w:pPr>
      <w:bookmarkStart w:id="21" w:name="_Toc85646475"/>
      <w:bookmarkStart w:id="22" w:name="_Toc27008"/>
      <w:r>
        <w:rPr>
          <w:rFonts w:hint="eastAsia"/>
        </w:rPr>
        <w:t>初设评审意见回复及执行情况</w:t>
      </w:r>
      <w:bookmarkEnd w:id="21"/>
      <w:bookmarkEnd w:id="22"/>
    </w:p>
    <w:p w14:paraId="26D2BA60">
      <w:pPr>
        <w:ind w:firstLine="480"/>
        <w:rPr>
          <w:rFonts w:hint="eastAsia" w:cs="宋体"/>
          <w:lang w:val="en-US" w:eastAsia="zh-CN"/>
        </w:rPr>
      </w:pPr>
      <w:r>
        <w:rPr>
          <w:rFonts w:hint="eastAsia" w:cs="宋体"/>
          <w:lang w:val="en-US" w:eastAsia="zh-CN"/>
        </w:rPr>
        <w:t>1、进一步完善平纵横设计</w:t>
      </w:r>
    </w:p>
    <w:p w14:paraId="68CE1C50">
      <w:pPr>
        <w:ind w:firstLine="480"/>
        <w:rPr>
          <w:rFonts w:hint="default" w:cs="宋体"/>
          <w:lang w:val="en-US" w:eastAsia="zh-CN"/>
        </w:rPr>
      </w:pPr>
      <w:r>
        <w:rPr>
          <w:rFonts w:hint="eastAsia" w:cs="宋体"/>
          <w:lang w:val="en-US" w:eastAsia="zh-CN"/>
        </w:rPr>
        <w:t>回复：按意见修改，补充远期规划道路线及远期支路四横断面。</w:t>
      </w:r>
    </w:p>
    <w:p w14:paraId="1EDE8D7D">
      <w:pPr>
        <w:rPr>
          <w:rFonts w:hint="eastAsia" w:cs="宋体"/>
          <w:lang w:val="en-US" w:eastAsia="zh-CN"/>
        </w:rPr>
      </w:pPr>
      <w:r>
        <w:rPr>
          <w:rFonts w:hint="eastAsia" w:cs="宋体"/>
          <w:lang w:val="en-US" w:eastAsia="zh-CN"/>
        </w:rPr>
        <w:t>2、学校区域建议增加限速标志、注意儿童标志。</w:t>
      </w:r>
    </w:p>
    <w:p w14:paraId="449F8DAF">
      <w:pPr>
        <w:ind w:firstLine="480"/>
        <w:rPr>
          <w:rFonts w:hint="default" w:cs="宋体"/>
          <w:lang w:val="en-US" w:eastAsia="zh-CN"/>
        </w:rPr>
      </w:pPr>
      <w:r>
        <w:rPr>
          <w:rFonts w:hint="eastAsia" w:cs="宋体"/>
          <w:lang w:val="en-US" w:eastAsia="zh-CN"/>
        </w:rPr>
        <w:t>回复：按意见补充。</w:t>
      </w:r>
    </w:p>
    <w:p w14:paraId="585F3630">
      <w:pPr>
        <w:ind w:firstLine="480"/>
        <w:rPr>
          <w:rFonts w:hint="eastAsia" w:cs="宋体"/>
          <w:lang w:val="en-US" w:eastAsia="zh-CN"/>
        </w:rPr>
      </w:pPr>
      <w:r>
        <w:rPr>
          <w:rFonts w:hint="eastAsia" w:cs="宋体"/>
          <w:lang w:val="en-US" w:eastAsia="zh-CN"/>
        </w:rPr>
        <w:t>3、市政消火栓应采用防撞型。</w:t>
      </w:r>
    </w:p>
    <w:p w14:paraId="14D9C06A">
      <w:pPr>
        <w:ind w:firstLine="480"/>
        <w:rPr>
          <w:rFonts w:hint="default" w:cs="宋体"/>
          <w:lang w:val="en-US" w:eastAsia="zh-CN"/>
        </w:rPr>
      </w:pPr>
      <w:r>
        <w:rPr>
          <w:rFonts w:hint="eastAsia" w:cs="宋体"/>
          <w:lang w:val="en-US" w:eastAsia="zh-CN"/>
        </w:rPr>
        <w:t>回复：按意见补充。</w:t>
      </w:r>
    </w:p>
    <w:p w14:paraId="07A44DC1">
      <w:pPr>
        <w:ind w:firstLine="480"/>
        <w:sectPr>
          <w:footerReference r:id="rId17" w:type="default"/>
          <w:pgSz w:w="23811" w:h="16838" w:orient="landscape"/>
          <w:pgMar w:top="1418" w:right="1440" w:bottom="1134" w:left="1440" w:header="680" w:footer="737" w:gutter="0"/>
          <w:pgNumType w:fmt="decimal"/>
          <w:cols w:space="1201" w:num="2"/>
          <w:docGrid w:type="lines" w:linePitch="326" w:charSpace="0"/>
        </w:sectPr>
      </w:pPr>
    </w:p>
    <w:p w14:paraId="1E981075">
      <w:pPr>
        <w:pStyle w:val="3"/>
        <w:spacing w:before="163" w:after="163"/>
      </w:pPr>
      <w:bookmarkStart w:id="23" w:name="_Toc31480"/>
      <w:bookmarkStart w:id="24" w:name="_Toc71703539"/>
      <w:bookmarkStart w:id="25" w:name="_Toc76668283"/>
      <w:r>
        <w:rPr>
          <w:rFonts w:hint="eastAsia"/>
        </w:rPr>
        <w:t>功能定位</w:t>
      </w:r>
      <w:bookmarkEnd w:id="23"/>
      <w:bookmarkEnd w:id="24"/>
      <w:bookmarkEnd w:id="25"/>
    </w:p>
    <w:p w14:paraId="4ABC1F63">
      <w:pPr>
        <w:pStyle w:val="4"/>
        <w:spacing w:before="163" w:after="163"/>
        <w:ind w:firstLine="602"/>
      </w:pPr>
      <w:bookmarkStart w:id="26" w:name="_Toc68620604"/>
      <w:bookmarkStart w:id="27" w:name="_Toc18411"/>
      <w:bookmarkStart w:id="28" w:name="_Toc71703540"/>
      <w:bookmarkStart w:id="29" w:name="_Toc76668284"/>
      <w:r>
        <w:rPr>
          <w:rFonts w:hint="eastAsia"/>
        </w:rPr>
        <w:t>规划情况</w:t>
      </w:r>
      <w:bookmarkEnd w:id="26"/>
      <w:bookmarkEnd w:id="27"/>
      <w:bookmarkEnd w:id="28"/>
      <w:bookmarkEnd w:id="29"/>
    </w:p>
    <w:p w14:paraId="2E0CEC5D">
      <w:pPr>
        <w:pStyle w:val="5"/>
        <w:spacing w:before="163" w:after="163"/>
        <w:ind w:firstLine="560"/>
      </w:pPr>
      <w:bookmarkStart w:id="30" w:name="_Toc68620605"/>
      <w:bookmarkStart w:id="31" w:name="_Toc71703541"/>
      <w:bookmarkStart w:id="32" w:name="_Toc76668285"/>
      <w:bookmarkStart w:id="33" w:name="_Toc1646"/>
      <w:r>
        <w:rPr>
          <w:rFonts w:hint="eastAsia"/>
        </w:rPr>
        <w:t>用地结构规划</w:t>
      </w:r>
      <w:bookmarkEnd w:id="30"/>
      <w:bookmarkEnd w:id="31"/>
      <w:bookmarkEnd w:id="32"/>
      <w:bookmarkEnd w:id="33"/>
    </w:p>
    <w:p w14:paraId="40D465A1">
      <w:pPr>
        <w:pStyle w:val="133"/>
      </w:pPr>
      <w:r>
        <w:rPr>
          <w:rFonts w:hint="eastAsia"/>
        </w:rPr>
        <w:t>根据《花都区功能片区土地利用总体规划（2013-2020年）》，花东安置区项目征拆红线范围均为建设用地，用地性质符合土规要求。但是地块待征用地中，位于地块南侧的17</w:t>
      </w:r>
      <w:r>
        <w:rPr>
          <w:rFonts w:hint="eastAsia"/>
          <w:bCs/>
        </w:rPr>
        <w:t>亩夹心地，目前土规为林地，不符合用地规划，后期需要调整土规。</w:t>
      </w:r>
    </w:p>
    <w:p w14:paraId="2F4BB405">
      <w:pPr>
        <w:ind w:firstLine="480"/>
        <w:jc w:val="center"/>
        <w:rPr>
          <w:highlight w:val="yellow"/>
        </w:rPr>
      </w:pPr>
      <w:r>
        <w:drawing>
          <wp:inline distT="0" distB="0" distL="0" distR="0">
            <wp:extent cx="4018915" cy="2598420"/>
            <wp:effectExtent l="0" t="0" r="635"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21" cstate="print"/>
                    <a:srcRect/>
                    <a:stretch>
                      <a:fillRect/>
                    </a:stretch>
                  </pic:blipFill>
                  <pic:spPr>
                    <a:xfrm>
                      <a:off x="0" y="0"/>
                      <a:ext cx="4038080" cy="2610744"/>
                    </a:xfrm>
                    <a:prstGeom prst="rect">
                      <a:avLst/>
                    </a:prstGeom>
                    <a:noFill/>
                    <a:ln w="9525">
                      <a:noFill/>
                      <a:miter lim="800000"/>
                      <a:headEnd/>
                      <a:tailEnd/>
                    </a:ln>
                  </pic:spPr>
                </pic:pic>
              </a:graphicData>
            </a:graphic>
          </wp:inline>
        </w:drawing>
      </w:r>
    </w:p>
    <w:p w14:paraId="0645F831">
      <w:pPr>
        <w:ind w:firstLine="0" w:firstLineChars="0"/>
        <w:jc w:val="center"/>
        <w:rPr>
          <w:b/>
          <w:bCs/>
        </w:rPr>
      </w:pPr>
      <w:r>
        <w:rPr>
          <w:rFonts w:hint="eastAsia"/>
          <w:b/>
          <w:bCs/>
        </w:rPr>
        <w:t>土地利用规划图</w:t>
      </w:r>
    </w:p>
    <w:p w14:paraId="454F1125">
      <w:pPr>
        <w:ind w:firstLine="0" w:firstLineChars="0"/>
        <w:jc w:val="center"/>
      </w:pPr>
      <w:r>
        <w:rPr>
          <w:rFonts w:hint="eastAsia"/>
        </w:rPr>
        <w:drawing>
          <wp:inline distT="0" distB="0" distL="0" distR="0">
            <wp:extent cx="2262505" cy="2978785"/>
            <wp:effectExtent l="0" t="0" r="4445"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noChangeArrowheads="1"/>
                    </pic:cNvPicPr>
                  </pic:nvPicPr>
                  <pic:blipFill>
                    <a:blip r:embed="rId22" cstate="print"/>
                    <a:srcRect/>
                    <a:stretch>
                      <a:fillRect/>
                    </a:stretch>
                  </pic:blipFill>
                  <pic:spPr>
                    <a:xfrm>
                      <a:off x="0" y="0"/>
                      <a:ext cx="2267673" cy="2986212"/>
                    </a:xfrm>
                    <a:prstGeom prst="rect">
                      <a:avLst/>
                    </a:prstGeom>
                    <a:noFill/>
                    <a:ln w="9525">
                      <a:noFill/>
                      <a:miter lim="800000"/>
                      <a:headEnd/>
                      <a:tailEnd/>
                    </a:ln>
                  </pic:spPr>
                </pic:pic>
              </a:graphicData>
            </a:graphic>
          </wp:inline>
        </w:drawing>
      </w:r>
    </w:p>
    <w:p w14:paraId="05518BC4">
      <w:pPr>
        <w:ind w:firstLine="0" w:firstLineChars="0"/>
        <w:jc w:val="center"/>
        <w:rPr>
          <w:rFonts w:hint="eastAsia"/>
          <w:b/>
          <w:bCs/>
        </w:rPr>
      </w:pPr>
      <w:r>
        <w:rPr>
          <w:rFonts w:hint="eastAsia"/>
          <w:b/>
          <w:bCs/>
        </w:rPr>
        <w:t>用地规划图</w:t>
      </w:r>
    </w:p>
    <w:p w14:paraId="08ED8BAC">
      <w:pPr>
        <w:pStyle w:val="5"/>
        <w:spacing w:before="163" w:after="163"/>
        <w:ind w:firstLine="560"/>
        <w:rPr>
          <w:rFonts w:hint="eastAsia"/>
          <w:lang w:val="en-US" w:eastAsia="zh-CN"/>
        </w:rPr>
      </w:pPr>
      <w:bookmarkStart w:id="34" w:name="_Toc7806"/>
      <w:r>
        <w:rPr>
          <w:rFonts w:hint="eastAsia"/>
          <w:lang w:val="en-US" w:eastAsia="zh-CN"/>
        </w:rPr>
        <w:t>用地规划条件</w:t>
      </w:r>
      <w:bookmarkEnd w:id="34"/>
    </w:p>
    <w:p w14:paraId="2488703E">
      <w:pPr>
        <w:ind w:firstLine="480"/>
        <w:rPr>
          <w:rFonts w:hint="default"/>
          <w:lang w:val="en-US" w:eastAsia="zh-CN"/>
        </w:rPr>
      </w:pPr>
      <w:r>
        <w:rPr>
          <w:rFonts w:hint="eastAsia"/>
          <w:lang w:val="en-US" w:eastAsia="zh-CN"/>
        </w:rPr>
        <w:t>根据广州市建设用地规划条件（穗规划资源业务函【2020)15341号）见附件，用地位置花都大道以北，桑梓南路以西，道路用地面积（㎡）26826，可建设用地面积（㎡）199034，本项目为道路用地一部分。</w:t>
      </w:r>
    </w:p>
    <w:p w14:paraId="246B9115">
      <w:pPr>
        <w:pStyle w:val="5"/>
        <w:spacing w:before="163" w:after="163"/>
        <w:ind w:firstLine="560"/>
      </w:pPr>
      <w:bookmarkStart w:id="35" w:name="_Toc76668286"/>
      <w:bookmarkStart w:id="36" w:name="_Toc71703542"/>
      <w:bookmarkStart w:id="37" w:name="_Toc68620606"/>
      <w:bookmarkStart w:id="38" w:name="_Toc20596"/>
      <w:bookmarkStart w:id="39" w:name="_Hlk48657719"/>
      <w:r>
        <w:rPr>
          <w:rFonts w:hint="eastAsia"/>
        </w:rPr>
        <w:t>综合交通规划</w:t>
      </w:r>
      <w:bookmarkEnd w:id="35"/>
      <w:bookmarkEnd w:id="36"/>
      <w:bookmarkEnd w:id="37"/>
      <w:bookmarkEnd w:id="38"/>
    </w:p>
    <w:bookmarkEnd w:id="39"/>
    <w:p w14:paraId="4DA992EB">
      <w:pPr>
        <w:ind w:firstLine="480"/>
      </w:pPr>
      <w:r>
        <w:rPr>
          <w:rFonts w:hint="eastAsia"/>
        </w:rPr>
        <w:t>本项目主要对外联系通道，东西向为花都大道，南北向为机场北进场路。</w:t>
      </w:r>
    </w:p>
    <w:p w14:paraId="7D76155D">
      <w:pPr>
        <w:ind w:firstLine="480"/>
      </w:pPr>
      <w:r>
        <w:rPr>
          <w:rFonts w:hint="eastAsia"/>
        </w:rPr>
        <w:t>1、花都大道——机场北进场路交叉口：全互通。</w:t>
      </w:r>
    </w:p>
    <w:p w14:paraId="361E8261">
      <w:pPr>
        <w:ind w:firstLine="480"/>
      </w:pPr>
      <w:r>
        <w:rPr>
          <w:rFonts w:hint="eastAsia"/>
        </w:rPr>
        <w:t>2、机场北进场路——永安东路交叉口：右进右出路口。</w:t>
      </w:r>
    </w:p>
    <w:p w14:paraId="4B7C84CD">
      <w:pPr>
        <w:ind w:firstLine="0" w:firstLineChars="0"/>
        <w:jc w:val="center"/>
      </w:pPr>
      <w:r>
        <w:rPr>
          <w:rFonts w:hint="eastAsia"/>
        </w:rPr>
        <w:drawing>
          <wp:inline distT="0" distB="0" distL="0" distR="0">
            <wp:extent cx="4678680" cy="3241675"/>
            <wp:effectExtent l="0" t="0" r="7620" b="0"/>
            <wp:docPr id="13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图片 7"/>
                    <pic:cNvPicPr>
                      <a:picLocks noChangeAspect="1" noChangeArrowheads="1"/>
                    </pic:cNvPicPr>
                  </pic:nvPicPr>
                  <pic:blipFill>
                    <a:blip r:embed="rId23" cstate="print"/>
                    <a:srcRect/>
                    <a:stretch>
                      <a:fillRect/>
                    </a:stretch>
                  </pic:blipFill>
                  <pic:spPr>
                    <a:xfrm>
                      <a:off x="0" y="0"/>
                      <a:ext cx="4705838" cy="3260689"/>
                    </a:xfrm>
                    <a:prstGeom prst="rect">
                      <a:avLst/>
                    </a:prstGeom>
                    <a:noFill/>
                    <a:ln w="9525">
                      <a:noFill/>
                      <a:miter lim="800000"/>
                      <a:headEnd/>
                      <a:tailEnd/>
                    </a:ln>
                  </pic:spPr>
                </pic:pic>
              </a:graphicData>
            </a:graphic>
          </wp:inline>
        </w:drawing>
      </w:r>
    </w:p>
    <w:p w14:paraId="02FF83D8">
      <w:pPr>
        <w:ind w:firstLine="0" w:firstLineChars="0"/>
        <w:jc w:val="center"/>
        <w:rPr>
          <w:b/>
          <w:bCs/>
        </w:rPr>
      </w:pPr>
      <w:r>
        <w:rPr>
          <w:rFonts w:hint="eastAsia"/>
          <w:b/>
          <w:bCs/>
        </w:rPr>
        <w:t>综合交通规划图</w:t>
      </w:r>
    </w:p>
    <w:p w14:paraId="1F71A101">
      <w:pPr>
        <w:ind w:firstLine="0" w:firstLineChars="0"/>
        <w:jc w:val="center"/>
      </w:pPr>
      <w:r>
        <w:drawing>
          <wp:inline distT="0" distB="0" distL="0" distR="0">
            <wp:extent cx="2503170" cy="36169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4" cstate="print"/>
                    <a:stretch>
                      <a:fillRect/>
                    </a:stretch>
                  </pic:blipFill>
                  <pic:spPr>
                    <a:xfrm>
                      <a:off x="0" y="0"/>
                      <a:ext cx="2552289" cy="3687234"/>
                    </a:xfrm>
                    <a:prstGeom prst="rect">
                      <a:avLst/>
                    </a:prstGeom>
                  </pic:spPr>
                </pic:pic>
              </a:graphicData>
            </a:graphic>
          </wp:inline>
        </w:drawing>
      </w:r>
    </w:p>
    <w:p w14:paraId="653A6B4B">
      <w:pPr>
        <w:ind w:firstLine="0" w:firstLineChars="0"/>
        <w:jc w:val="center"/>
        <w:rPr>
          <w:b/>
          <w:bCs/>
        </w:rPr>
      </w:pPr>
      <w:r>
        <w:rPr>
          <w:rFonts w:hint="eastAsia"/>
          <w:b/>
          <w:bCs/>
        </w:rPr>
        <w:t>区域路网规划</w:t>
      </w:r>
    </w:p>
    <w:p w14:paraId="0D331B7A">
      <w:pPr>
        <w:pStyle w:val="5"/>
        <w:spacing w:before="163" w:after="163"/>
        <w:ind w:firstLine="560"/>
      </w:pPr>
      <w:bookmarkStart w:id="40" w:name="_Toc71703543"/>
      <w:bookmarkStart w:id="41" w:name="_Toc11600"/>
      <w:bookmarkStart w:id="42" w:name="_Toc76668287"/>
      <w:bookmarkStart w:id="43" w:name="_Toc68620607"/>
      <w:r>
        <w:rPr>
          <w:rFonts w:hint="eastAsia"/>
        </w:rPr>
        <w:t>市政管线规划</w:t>
      </w:r>
      <w:bookmarkEnd w:id="40"/>
      <w:bookmarkEnd w:id="41"/>
      <w:bookmarkEnd w:id="42"/>
      <w:bookmarkEnd w:id="43"/>
    </w:p>
    <w:p w14:paraId="7CB1DB21">
      <w:pPr>
        <w:pStyle w:val="6"/>
        <w:ind w:firstLine="480"/>
        <w:rPr>
          <w:b w:val="0"/>
          <w:bCs w:val="0"/>
        </w:rPr>
      </w:pPr>
      <w:r>
        <w:rPr>
          <w:rFonts w:hint="eastAsia"/>
          <w:b w:val="0"/>
          <w:bCs w:val="0"/>
        </w:rPr>
        <w:t>现状市政管线</w:t>
      </w:r>
    </w:p>
    <w:p w14:paraId="4E306996">
      <w:pPr>
        <w:ind w:firstLine="480"/>
      </w:pPr>
      <w:r>
        <w:rPr>
          <w:rFonts w:hint="eastAsia"/>
        </w:rPr>
        <w:t>（1）雨水：花都大道雨水经现状管网最终排往高溪河。</w:t>
      </w:r>
    </w:p>
    <w:p w14:paraId="324F8F36">
      <w:pPr>
        <w:ind w:firstLine="480"/>
      </w:pPr>
      <w:r>
        <w:rPr>
          <w:rFonts w:hint="eastAsia"/>
        </w:rPr>
        <w:t>污水：现状花东污水处理系统污水均转输至位于现代大道南端的花东污水处理厂进行处理。现状花东污水处理系统污水均转输至位于现代大道南端的花东污水处理厂进行处理。现有污水转输系统由北、东、西三条主干管和位于高新一路污水泵站组成。</w:t>
      </w:r>
    </w:p>
    <w:p w14:paraId="3135DDCA">
      <w:pPr>
        <w:ind w:firstLine="480"/>
      </w:pPr>
      <w:r>
        <w:rPr>
          <w:rFonts w:hint="eastAsia"/>
        </w:rPr>
        <w:t>（2）给水：现状规划区水源为花都区自来水公司石角水厂、东部水厂提供。南部的花都大道上敷设有DN1000和DN1200两条供水管，东侧桑梓南路上有一条DN1000供水管。</w:t>
      </w:r>
    </w:p>
    <w:p w14:paraId="7A8A59AF">
      <w:pPr>
        <w:ind w:firstLine="480"/>
      </w:pPr>
      <w:r>
        <w:rPr>
          <w:rFonts w:hint="eastAsia"/>
        </w:rPr>
        <w:t>（3）燃气工程</w:t>
      </w:r>
    </w:p>
    <w:p w14:paraId="289F7D78">
      <w:pPr>
        <w:ind w:firstLine="480"/>
      </w:pPr>
      <w:r>
        <w:rPr>
          <w:rFonts w:hint="eastAsia"/>
        </w:rPr>
        <w:t>规划区南侧花都大道沿线目前已敷设一根DN400的中压燃气管道。主要由位于区外的北兴门站供气。</w:t>
      </w:r>
    </w:p>
    <w:p w14:paraId="099D37D8">
      <w:pPr>
        <w:ind w:firstLine="480"/>
      </w:pPr>
      <w:r>
        <w:rPr>
          <w:rFonts w:hint="eastAsia"/>
        </w:rPr>
        <w:t>（4）电气工程</w:t>
      </w:r>
    </w:p>
    <w:p w14:paraId="6F740560">
      <w:pPr>
        <w:ind w:firstLine="480"/>
      </w:pPr>
      <w:r>
        <w:rPr>
          <w:rFonts w:hint="eastAsia"/>
        </w:rPr>
        <w:t>规划区内负荷目前主要由110kV金田站供电。在花都大道上，机场北进场路至桑梓南路间有110kV金航线和110kV田南线以埋管形式敷设。</w:t>
      </w:r>
    </w:p>
    <w:p w14:paraId="50FF1EA6">
      <w:pPr>
        <w:ind w:firstLine="480"/>
      </w:pPr>
      <w:r>
        <w:rPr>
          <w:rFonts w:hint="eastAsia"/>
        </w:rPr>
        <w:t>（5）通信工程</w:t>
      </w:r>
    </w:p>
    <w:p w14:paraId="664799FF">
      <w:pPr>
        <w:ind w:firstLine="480"/>
      </w:pPr>
      <w:r>
        <w:rPr>
          <w:rFonts w:hint="eastAsia"/>
        </w:rPr>
        <w:t>现状没有通信局所，通信服务主要由区外的花东电信支局提供，现状容量2.46万门。由花东镇、花山镇和钟落潭镇的分前端机房提供有线电视服务。通信线路多为架空形式布置，仅花都大道上有现状12孔通信管道。</w:t>
      </w:r>
    </w:p>
    <w:p w14:paraId="63EBC7B7">
      <w:pPr>
        <w:pStyle w:val="6"/>
        <w:ind w:firstLine="480"/>
        <w:rPr>
          <w:b w:val="0"/>
          <w:bCs w:val="0"/>
        </w:rPr>
      </w:pPr>
      <w:r>
        <w:rPr>
          <w:rFonts w:hint="eastAsia"/>
          <w:b w:val="0"/>
          <w:bCs w:val="0"/>
        </w:rPr>
        <w:t>市政管线规划情况</w:t>
      </w:r>
    </w:p>
    <w:p w14:paraId="6759AFE3">
      <w:pPr>
        <w:ind w:firstLine="480"/>
      </w:pPr>
      <w:r>
        <w:rPr>
          <w:rFonts w:hint="eastAsia"/>
        </w:rPr>
        <w:t>（1）雨水管网规划</w:t>
      </w:r>
    </w:p>
    <w:p w14:paraId="76BD93B1">
      <w:pPr>
        <w:ind w:firstLine="480"/>
      </w:pPr>
      <w:r>
        <w:rPr>
          <w:rFonts w:hint="eastAsia"/>
        </w:rPr>
        <w:t>规划区内雨水管接入东侧市政路回用水市政管网（地块一接入东北角，地块二接入东南角）。室外雨水和屋面雨水进行有组织收集。屋面雨水通过雨水斗收集后采用重力流排放至室外雨水系统，场地雨水经路面雨水口收集后采用重力流排放至地下雨水管。</w:t>
      </w:r>
    </w:p>
    <w:p w14:paraId="61D7F3A5">
      <w:pPr>
        <w:ind w:firstLine="0" w:firstLineChars="0"/>
        <w:jc w:val="center"/>
      </w:pPr>
      <w:r>
        <w:drawing>
          <wp:inline distT="0" distB="0" distL="0" distR="0">
            <wp:extent cx="4120515" cy="2902585"/>
            <wp:effectExtent l="0" t="0" r="0" b="0"/>
            <wp:docPr id="13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图片 11"/>
                    <pic:cNvPicPr>
                      <a:picLocks noChangeAspect="1" noChangeArrowheads="1"/>
                    </pic:cNvPicPr>
                  </pic:nvPicPr>
                  <pic:blipFill>
                    <a:blip r:embed="rId25" cstate="print"/>
                    <a:srcRect/>
                    <a:stretch>
                      <a:fillRect/>
                    </a:stretch>
                  </pic:blipFill>
                  <pic:spPr>
                    <a:xfrm>
                      <a:off x="0" y="0"/>
                      <a:ext cx="4142919" cy="2918972"/>
                    </a:xfrm>
                    <a:prstGeom prst="rect">
                      <a:avLst/>
                    </a:prstGeom>
                    <a:noFill/>
                    <a:ln w="9525">
                      <a:noFill/>
                      <a:miter lim="800000"/>
                      <a:headEnd/>
                      <a:tailEnd/>
                    </a:ln>
                  </pic:spPr>
                </pic:pic>
              </a:graphicData>
            </a:graphic>
          </wp:inline>
        </w:drawing>
      </w:r>
    </w:p>
    <w:p w14:paraId="34AAF502">
      <w:pPr>
        <w:ind w:firstLine="0" w:firstLineChars="0"/>
        <w:jc w:val="center"/>
        <w:rPr>
          <w:b/>
          <w:bCs/>
        </w:rPr>
      </w:pPr>
      <w:r>
        <w:rPr>
          <w:rFonts w:hint="eastAsia"/>
          <w:b/>
          <w:bCs/>
        </w:rPr>
        <w:t>雨水管网规划图</w:t>
      </w:r>
    </w:p>
    <w:p w14:paraId="1D860F11">
      <w:pPr>
        <w:ind w:firstLine="480"/>
      </w:pPr>
      <w:r>
        <w:rPr>
          <w:rFonts w:hint="eastAsia"/>
        </w:rPr>
        <w:t>（2）污水管网规划</w:t>
      </w:r>
    </w:p>
    <w:p w14:paraId="3AFCC1A3">
      <w:pPr>
        <w:ind w:firstLine="480"/>
      </w:pPr>
      <w:r>
        <w:rPr>
          <w:rFonts w:hint="eastAsia"/>
        </w:rPr>
        <w:t>规划区采用雨、污水分流系统。根据本地区竖向规划及市政管网规划，区内污水排入东侧市政路污水管网系统（地块一接入东北角，地块二接入东南角）。室内生活废水与粪便污水分流排放系统，粪便污水经室外化粪池处理后再与生活废水回合后直接排入室外污水管。餐饮污水经隔油隔渣处理后排入室外污水管。地下室污水经提升井收集后排入室外雨水管网。</w:t>
      </w:r>
    </w:p>
    <w:p w14:paraId="0D9D687A">
      <w:pPr>
        <w:ind w:firstLine="0" w:firstLineChars="0"/>
        <w:jc w:val="center"/>
        <w:rPr>
          <w:color w:val="FF0000"/>
        </w:rPr>
      </w:pPr>
      <w:r>
        <w:drawing>
          <wp:inline distT="0" distB="0" distL="0" distR="0">
            <wp:extent cx="4112895" cy="2703830"/>
            <wp:effectExtent l="0" t="0" r="1905" b="127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noChangeArrowheads="1"/>
                    </pic:cNvPicPr>
                  </pic:nvPicPr>
                  <pic:blipFill>
                    <a:blip r:embed="rId26" cstate="print"/>
                    <a:srcRect t="8249"/>
                    <a:stretch>
                      <a:fillRect/>
                    </a:stretch>
                  </pic:blipFill>
                  <pic:spPr>
                    <a:xfrm>
                      <a:off x="0" y="0"/>
                      <a:ext cx="4130460" cy="2715511"/>
                    </a:xfrm>
                    <a:prstGeom prst="rect">
                      <a:avLst/>
                    </a:prstGeom>
                    <a:noFill/>
                    <a:ln w="9525">
                      <a:noFill/>
                      <a:miter lim="800000"/>
                      <a:headEnd/>
                      <a:tailEnd/>
                    </a:ln>
                  </pic:spPr>
                </pic:pic>
              </a:graphicData>
            </a:graphic>
          </wp:inline>
        </w:drawing>
      </w:r>
    </w:p>
    <w:p w14:paraId="6ABDD720">
      <w:pPr>
        <w:ind w:firstLine="0" w:firstLineChars="0"/>
        <w:jc w:val="center"/>
        <w:rPr>
          <w:b/>
          <w:bCs/>
        </w:rPr>
      </w:pPr>
      <w:r>
        <w:rPr>
          <w:rFonts w:hint="eastAsia"/>
          <w:b/>
          <w:bCs/>
        </w:rPr>
        <w:t>污水管网规划图</w:t>
      </w:r>
    </w:p>
    <w:p w14:paraId="0FF2D96B">
      <w:pPr>
        <w:ind w:firstLine="480"/>
      </w:pPr>
      <w:r>
        <w:rPr>
          <w:rFonts w:hint="eastAsia"/>
        </w:rPr>
        <w:t>（3）给水管网规划</w:t>
      </w:r>
    </w:p>
    <w:p w14:paraId="728B9BD6">
      <w:pPr>
        <w:ind w:firstLine="480"/>
      </w:pPr>
      <w:r>
        <w:rPr>
          <w:rFonts w:hint="eastAsia"/>
        </w:rPr>
        <w:t>项目用水主要是工作人员办公、生活用水、商场用水、绿化用水、道路、广场浇洒用水和地下停车库冲洗用水等。因片区面积较大，考虑由机场北进场路给水管道接入，采用两路进水方式进入建筑物地下室生活、消防给水设备间。</w:t>
      </w:r>
    </w:p>
    <w:p w14:paraId="70E642E5">
      <w:pPr>
        <w:ind w:firstLine="0" w:firstLineChars="0"/>
        <w:jc w:val="center"/>
      </w:pPr>
      <w:r>
        <w:drawing>
          <wp:inline distT="0" distB="0" distL="0" distR="0">
            <wp:extent cx="4059555" cy="2871470"/>
            <wp:effectExtent l="19050" t="0" r="0" b="0"/>
            <wp:docPr id="13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10"/>
                    <pic:cNvPicPr>
                      <a:picLocks noChangeAspect="1" noChangeArrowheads="1"/>
                    </pic:cNvPicPr>
                  </pic:nvPicPr>
                  <pic:blipFill>
                    <a:blip r:embed="rId27" cstate="print"/>
                    <a:srcRect/>
                    <a:stretch>
                      <a:fillRect/>
                    </a:stretch>
                  </pic:blipFill>
                  <pic:spPr>
                    <a:xfrm>
                      <a:off x="0" y="0"/>
                      <a:ext cx="4061273" cy="2872498"/>
                    </a:xfrm>
                    <a:prstGeom prst="rect">
                      <a:avLst/>
                    </a:prstGeom>
                    <a:noFill/>
                    <a:ln w="9525">
                      <a:noFill/>
                      <a:miter lim="800000"/>
                      <a:headEnd/>
                      <a:tailEnd/>
                    </a:ln>
                  </pic:spPr>
                </pic:pic>
              </a:graphicData>
            </a:graphic>
          </wp:inline>
        </w:drawing>
      </w:r>
    </w:p>
    <w:p w14:paraId="4CA14998">
      <w:pPr>
        <w:ind w:firstLine="0" w:firstLineChars="0"/>
        <w:jc w:val="center"/>
        <w:rPr>
          <w:b/>
          <w:bCs/>
        </w:rPr>
      </w:pPr>
      <w:r>
        <w:rPr>
          <w:rFonts w:hint="eastAsia"/>
          <w:b/>
          <w:bCs/>
        </w:rPr>
        <w:t>给水管网规划图</w:t>
      </w:r>
    </w:p>
    <w:p w14:paraId="6291368A">
      <w:pPr>
        <w:ind w:firstLine="480"/>
      </w:pPr>
      <w:r>
        <w:rPr>
          <w:rFonts w:hint="eastAsia"/>
        </w:rPr>
        <w:t>（4）燃气管网规划</w:t>
      </w:r>
    </w:p>
    <w:p w14:paraId="77E642AB">
      <w:pPr>
        <w:ind w:firstLine="480"/>
      </w:pPr>
      <w:r>
        <w:rPr>
          <w:rFonts w:hint="eastAsia"/>
        </w:rPr>
        <w:t>规划区内天然气从机场北进场路市政燃气管网接入，对本项目供天然气。通过设在区内的燃气调压设施进行集中调压，再通过低压燃气管道送至各用户。</w:t>
      </w:r>
    </w:p>
    <w:p w14:paraId="57988199">
      <w:pPr>
        <w:adjustRightInd w:val="0"/>
        <w:snapToGrid w:val="0"/>
        <w:ind w:firstLine="480"/>
        <w:jc w:val="center"/>
        <w:rPr>
          <w:rFonts w:ascii="宋体" w:hAnsi="宋体"/>
          <w:bCs/>
        </w:rPr>
      </w:pPr>
      <w:r>
        <w:rPr>
          <w:rFonts w:ascii="宋体" w:hAnsi="宋体"/>
          <w:bCs/>
        </w:rPr>
        <w:drawing>
          <wp:inline distT="0" distB="0" distL="0" distR="0">
            <wp:extent cx="4218305" cy="2970530"/>
            <wp:effectExtent l="19050" t="0" r="0" b="0"/>
            <wp:docPr id="13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28"/>
                    <pic:cNvPicPr>
                      <a:picLocks noChangeAspect="1" noChangeArrowheads="1"/>
                    </pic:cNvPicPr>
                  </pic:nvPicPr>
                  <pic:blipFill>
                    <a:blip r:embed="rId28" cstate="print"/>
                    <a:srcRect/>
                    <a:stretch>
                      <a:fillRect/>
                    </a:stretch>
                  </pic:blipFill>
                  <pic:spPr>
                    <a:xfrm>
                      <a:off x="0" y="0"/>
                      <a:ext cx="4220910" cy="2972608"/>
                    </a:xfrm>
                    <a:prstGeom prst="rect">
                      <a:avLst/>
                    </a:prstGeom>
                    <a:noFill/>
                    <a:ln w="9525">
                      <a:noFill/>
                      <a:miter lim="800000"/>
                      <a:headEnd/>
                      <a:tailEnd/>
                    </a:ln>
                  </pic:spPr>
                </pic:pic>
              </a:graphicData>
            </a:graphic>
          </wp:inline>
        </w:drawing>
      </w:r>
    </w:p>
    <w:p w14:paraId="10B09E94">
      <w:pPr>
        <w:ind w:firstLine="0" w:firstLineChars="0"/>
        <w:jc w:val="center"/>
        <w:rPr>
          <w:b/>
          <w:bCs/>
        </w:rPr>
      </w:pPr>
      <w:r>
        <w:rPr>
          <w:rFonts w:hint="eastAsia"/>
          <w:b/>
          <w:bCs/>
        </w:rPr>
        <w:t>燃气管网规划图</w:t>
      </w:r>
    </w:p>
    <w:p w14:paraId="62C05EFE">
      <w:pPr>
        <w:ind w:firstLine="480"/>
      </w:pPr>
      <w:r>
        <w:rPr>
          <w:rFonts w:hint="eastAsia"/>
        </w:rPr>
        <w:t>（5）电气管网规划</w:t>
      </w:r>
    </w:p>
    <w:p w14:paraId="09091E34">
      <w:pPr>
        <w:ind w:firstLine="480"/>
      </w:pPr>
      <w:r>
        <w:rPr>
          <w:rFonts w:hint="eastAsia"/>
        </w:rPr>
        <w:t>区内高压电源来自市政110kV变电站变电站（地块右下侧），沿机场北进场路引10kV线路进入本工程开关房。</w:t>
      </w:r>
    </w:p>
    <w:p w14:paraId="3DD861E5">
      <w:pPr>
        <w:ind w:firstLine="480"/>
        <w:jc w:val="center"/>
        <w:rPr>
          <w:rFonts w:ascii="宋体" w:hAnsi="宋体"/>
        </w:rPr>
      </w:pPr>
      <w:r>
        <w:rPr>
          <w:rFonts w:ascii="宋体" w:hAnsi="宋体"/>
        </w:rPr>
        <w:drawing>
          <wp:inline distT="0" distB="0" distL="0" distR="0">
            <wp:extent cx="3960495" cy="2783205"/>
            <wp:effectExtent l="0" t="0" r="1905" b="0"/>
            <wp:docPr id="13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图片 7"/>
                    <pic:cNvPicPr>
                      <a:picLocks noChangeAspect="1" noChangeArrowheads="1"/>
                    </pic:cNvPicPr>
                  </pic:nvPicPr>
                  <pic:blipFill>
                    <a:blip r:embed="rId29" cstate="print"/>
                    <a:srcRect/>
                    <a:stretch>
                      <a:fillRect/>
                    </a:stretch>
                  </pic:blipFill>
                  <pic:spPr>
                    <a:xfrm>
                      <a:off x="0" y="0"/>
                      <a:ext cx="3970248" cy="2789673"/>
                    </a:xfrm>
                    <a:prstGeom prst="rect">
                      <a:avLst/>
                    </a:prstGeom>
                    <a:noFill/>
                    <a:ln w="9525">
                      <a:noFill/>
                      <a:miter lim="800000"/>
                      <a:headEnd/>
                      <a:tailEnd/>
                    </a:ln>
                  </pic:spPr>
                </pic:pic>
              </a:graphicData>
            </a:graphic>
          </wp:inline>
        </w:drawing>
      </w:r>
    </w:p>
    <w:p w14:paraId="31306017">
      <w:pPr>
        <w:ind w:firstLine="0" w:firstLineChars="0"/>
        <w:jc w:val="center"/>
        <w:rPr>
          <w:b/>
          <w:bCs/>
        </w:rPr>
      </w:pPr>
      <w:r>
        <w:rPr>
          <w:rFonts w:hint="eastAsia"/>
          <w:b/>
          <w:bCs/>
        </w:rPr>
        <w:t>电气管网规划图</w:t>
      </w:r>
    </w:p>
    <w:p w14:paraId="27E31A4A">
      <w:pPr>
        <w:ind w:firstLine="480"/>
      </w:pPr>
      <w:r>
        <w:rPr>
          <w:rFonts w:hint="eastAsia"/>
        </w:rPr>
        <w:t>（6）通信管线规划</w:t>
      </w:r>
    </w:p>
    <w:p w14:paraId="4E744ABF">
      <w:pPr>
        <w:ind w:firstLine="480"/>
      </w:pPr>
      <w:r>
        <w:rPr>
          <w:rFonts w:hint="eastAsia"/>
        </w:rPr>
        <w:t>规划区内电信管网管网沿本工程机场北进场路接入，沿区内绿化带敷设，线缆通过地下室预埋套管进入建筑物地下室电信设备间，由电信、联通和移动等运营商共同使用。电信管网保持与其它地下管线的最小净距：供水管、排水管，为0.15米；煤气管为0.3米；电力电缆为0.5米，其它通信电缆0.25米。在转弯、分支处应根据需要设置人、手孔，直线段人孔距离150米左右。</w:t>
      </w:r>
    </w:p>
    <w:p w14:paraId="5E644E43">
      <w:pPr>
        <w:adjustRightInd w:val="0"/>
        <w:snapToGrid w:val="0"/>
        <w:ind w:firstLine="480"/>
        <w:jc w:val="center"/>
        <w:rPr>
          <w:rFonts w:ascii="宋体" w:hAnsi="宋体"/>
          <w:bCs/>
        </w:rPr>
      </w:pPr>
      <w:r>
        <w:rPr>
          <w:rFonts w:ascii="宋体" w:hAnsi="宋体"/>
          <w:bCs/>
        </w:rPr>
        <w:drawing>
          <wp:inline distT="0" distB="0" distL="0" distR="0">
            <wp:extent cx="4086860" cy="3139440"/>
            <wp:effectExtent l="0" t="0" r="8890" b="3810"/>
            <wp:docPr id="13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图片 25"/>
                    <pic:cNvPicPr>
                      <a:picLocks noChangeAspect="1" noChangeArrowheads="1"/>
                    </pic:cNvPicPr>
                  </pic:nvPicPr>
                  <pic:blipFill>
                    <a:blip r:embed="rId30" cstate="print"/>
                    <a:srcRect/>
                    <a:stretch>
                      <a:fillRect/>
                    </a:stretch>
                  </pic:blipFill>
                  <pic:spPr>
                    <a:xfrm>
                      <a:off x="0" y="0"/>
                      <a:ext cx="4098943" cy="3148603"/>
                    </a:xfrm>
                    <a:prstGeom prst="rect">
                      <a:avLst/>
                    </a:prstGeom>
                    <a:noFill/>
                    <a:ln w="9525">
                      <a:noFill/>
                      <a:miter lim="800000"/>
                      <a:headEnd/>
                      <a:tailEnd/>
                    </a:ln>
                  </pic:spPr>
                </pic:pic>
              </a:graphicData>
            </a:graphic>
          </wp:inline>
        </w:drawing>
      </w:r>
    </w:p>
    <w:p w14:paraId="491B481E">
      <w:pPr>
        <w:ind w:firstLine="0" w:firstLineChars="0"/>
        <w:jc w:val="center"/>
        <w:rPr>
          <w:b/>
          <w:bCs/>
        </w:rPr>
      </w:pPr>
      <w:r>
        <w:rPr>
          <w:rFonts w:hint="eastAsia"/>
          <w:b/>
          <w:bCs/>
        </w:rPr>
        <w:t>通信管网规划图</w:t>
      </w:r>
    </w:p>
    <w:p w14:paraId="36AA7054">
      <w:pPr>
        <w:pStyle w:val="4"/>
        <w:spacing w:before="163" w:after="163"/>
        <w:ind w:firstLine="602"/>
      </w:pPr>
      <w:bookmarkStart w:id="44" w:name="_Toc23286"/>
      <w:bookmarkStart w:id="45" w:name="_Toc76668288"/>
      <w:bookmarkStart w:id="46" w:name="_Toc71703544"/>
      <w:bookmarkStart w:id="47" w:name="_Toc49527729"/>
      <w:r>
        <w:rPr>
          <w:rFonts w:hint="eastAsia"/>
        </w:rPr>
        <w:t>交通量预测</w:t>
      </w:r>
      <w:bookmarkEnd w:id="44"/>
      <w:bookmarkEnd w:id="45"/>
      <w:bookmarkEnd w:id="46"/>
      <w:bookmarkEnd w:id="47"/>
    </w:p>
    <w:p w14:paraId="43A420A8">
      <w:pPr>
        <w:pStyle w:val="5"/>
        <w:numPr>
          <w:ilvl w:val="0"/>
          <w:numId w:val="0"/>
        </w:numPr>
        <w:spacing w:before="163" w:after="163"/>
        <w:ind w:left="284"/>
      </w:pPr>
      <w:bookmarkStart w:id="48" w:name="_Toc49527730"/>
      <w:bookmarkStart w:id="49" w:name="_Toc71703545"/>
      <w:bookmarkStart w:id="50" w:name="_Toc76668289"/>
      <w:bookmarkStart w:id="51" w:name="_Toc28674"/>
      <w:r>
        <w:rPr>
          <w:rFonts w:hint="eastAsia"/>
        </w:rPr>
        <w:t>2</w:t>
      </w:r>
      <w:r>
        <w:t>.2.1</w:t>
      </w:r>
      <w:r>
        <w:rPr>
          <w:rFonts w:hint="eastAsia"/>
        </w:rPr>
        <w:t>交通量预测年限</w:t>
      </w:r>
      <w:bookmarkEnd w:id="48"/>
      <w:bookmarkEnd w:id="49"/>
      <w:bookmarkEnd w:id="50"/>
      <w:bookmarkEnd w:id="51"/>
    </w:p>
    <w:p w14:paraId="0A859437">
      <w:pPr>
        <w:ind w:firstLine="480"/>
      </w:pPr>
      <w:r>
        <w:rPr>
          <w:rFonts w:hint="eastAsia"/>
        </w:rPr>
        <w:t>根据《城市道路工程设计规范（CJJ37-2012）》中的相关规定，道路交通量达到饱和度时的设计年限按道路等级分为三种：快速路、主干路设计年限为20年，次干路设计年限为15年，支路设计年限为10-15年。本项目道路永安东路为城市次干路，设计年限为</w:t>
      </w:r>
      <w:r>
        <w:t>15</w:t>
      </w:r>
      <w:r>
        <w:rPr>
          <w:rFonts w:hint="eastAsia"/>
        </w:rPr>
        <w:t>年；本项目预计于202</w:t>
      </w:r>
      <w:r>
        <w:rPr>
          <w:rFonts w:hint="eastAsia"/>
          <w:lang w:val="en-US" w:eastAsia="zh-CN"/>
        </w:rPr>
        <w:t>5</w:t>
      </w:r>
      <w:r>
        <w:rPr>
          <w:rFonts w:hint="eastAsia"/>
        </w:rPr>
        <w:t>年底建成通车，因此确定本项目的交通发展预测期限为</w:t>
      </w:r>
      <w:r>
        <w:rPr>
          <w:rFonts w:hint="eastAsia"/>
          <w:lang w:val="en-US" w:eastAsia="zh-CN"/>
        </w:rPr>
        <w:t>15</w:t>
      </w:r>
      <w:r>
        <w:rPr>
          <w:rFonts w:hint="eastAsia"/>
        </w:rPr>
        <w:t>年，即202</w:t>
      </w:r>
      <w:r>
        <w:rPr>
          <w:rFonts w:hint="eastAsia"/>
          <w:lang w:val="en-US" w:eastAsia="zh-CN"/>
        </w:rPr>
        <w:t>5</w:t>
      </w:r>
      <w:r>
        <w:rPr>
          <w:rFonts w:hint="eastAsia"/>
        </w:rPr>
        <w:t>年~20</w:t>
      </w:r>
      <w:r>
        <w:t>4</w:t>
      </w:r>
      <w:r>
        <w:rPr>
          <w:rFonts w:hint="eastAsia"/>
          <w:lang w:val="en-US" w:eastAsia="zh-CN"/>
        </w:rPr>
        <w:t>4</w:t>
      </w:r>
      <w:r>
        <w:rPr>
          <w:rFonts w:hint="eastAsia"/>
        </w:rPr>
        <w:t>年。中间特征年结合我国国民经济发展计划“五年制”的特点和预测难度随着预测年限递增、预测精度随预测年限增加逐渐递减的规律，按近期较细远期较粗及取整等原则，将项目交通量预测的特征年确定为202</w:t>
      </w:r>
      <w:r>
        <w:rPr>
          <w:rFonts w:hint="eastAsia"/>
          <w:lang w:val="en-US" w:eastAsia="zh-CN"/>
        </w:rPr>
        <w:t>5</w:t>
      </w:r>
      <w:r>
        <w:rPr>
          <w:rFonts w:hint="eastAsia"/>
        </w:rPr>
        <w:t>年、202</w:t>
      </w:r>
      <w:r>
        <w:rPr>
          <w:rFonts w:hint="eastAsia"/>
          <w:lang w:val="en-US" w:eastAsia="zh-CN"/>
        </w:rPr>
        <w:t>9</w:t>
      </w:r>
      <w:r>
        <w:rPr>
          <w:rFonts w:hint="eastAsia"/>
        </w:rPr>
        <w:t>年、203</w:t>
      </w:r>
      <w:r>
        <w:rPr>
          <w:rFonts w:hint="eastAsia"/>
          <w:lang w:val="en-US" w:eastAsia="zh-CN"/>
        </w:rPr>
        <w:t>4</w:t>
      </w:r>
      <w:r>
        <w:rPr>
          <w:rFonts w:hint="eastAsia"/>
        </w:rPr>
        <w:t>年和20</w:t>
      </w:r>
      <w:r>
        <w:t>3</w:t>
      </w:r>
      <w:r>
        <w:rPr>
          <w:rFonts w:hint="eastAsia"/>
          <w:lang w:val="en-US" w:eastAsia="zh-CN"/>
        </w:rPr>
        <w:t>9</w:t>
      </w:r>
      <w:r>
        <w:rPr>
          <w:rFonts w:hint="eastAsia"/>
        </w:rPr>
        <w:t>年，交通量预测基年为20</w:t>
      </w:r>
      <w:r>
        <w:t>2</w:t>
      </w:r>
      <w:r>
        <w:rPr>
          <w:rFonts w:hint="eastAsia"/>
          <w:lang w:val="en-US" w:eastAsia="zh-CN"/>
        </w:rPr>
        <w:t>5</w:t>
      </w:r>
      <w:r>
        <w:rPr>
          <w:rFonts w:hint="eastAsia"/>
        </w:rPr>
        <w:t>年。</w:t>
      </w:r>
    </w:p>
    <w:p w14:paraId="4193CAE3">
      <w:pPr>
        <w:pStyle w:val="5"/>
        <w:numPr>
          <w:ilvl w:val="0"/>
          <w:numId w:val="0"/>
        </w:numPr>
        <w:spacing w:before="163" w:after="163"/>
        <w:ind w:firstLine="200"/>
      </w:pPr>
      <w:bookmarkStart w:id="52" w:name="_Toc71703546"/>
      <w:bookmarkStart w:id="53" w:name="_Toc76668290"/>
      <w:bookmarkStart w:id="54" w:name="_Toc22226"/>
      <w:bookmarkStart w:id="55" w:name="_Toc49527731"/>
      <w:r>
        <w:rPr>
          <w:rFonts w:hint="eastAsia"/>
        </w:rPr>
        <w:t>2</w:t>
      </w:r>
      <w:r>
        <w:t>.2.2</w:t>
      </w:r>
      <w:r>
        <w:rPr>
          <w:rFonts w:hint="eastAsia"/>
        </w:rPr>
        <w:t>预测思路</w:t>
      </w:r>
      <w:bookmarkEnd w:id="52"/>
      <w:bookmarkEnd w:id="53"/>
      <w:bookmarkEnd w:id="54"/>
      <w:bookmarkEnd w:id="55"/>
    </w:p>
    <w:p w14:paraId="5DDB3630">
      <w:pPr>
        <w:ind w:firstLine="480"/>
      </w:pPr>
      <w:r>
        <w:rPr>
          <w:rFonts w:hint="eastAsia"/>
        </w:rPr>
        <w:t>本项目未来交通量预测采用“四阶段法”进行预测，即交通量的产生、交通量分布、交通方式划分以及交通量分配。利用美国Caliper公司开发的基于四阶段法的交通规划软件（TransCAD）进行全过程数据、图像处理和建模辅助。其基本思路和步骤为：</w:t>
      </w:r>
    </w:p>
    <w:p w14:paraId="3DBAB378">
      <w:pPr>
        <w:ind w:firstLine="480"/>
      </w:pPr>
      <w:r>
        <w:rPr>
          <w:rFonts w:hint="eastAsia"/>
        </w:rPr>
        <w:t>（1）前期资料调研准备，包括土地利用现状资料、交通现状资料、社会经济资料。对现有的土地利用资料、产业分布、居民出行特征对交通进行划分，通过对已有交通现状</w:t>
      </w:r>
      <w:r>
        <w:t>O</w:t>
      </w:r>
      <w:r>
        <w:rPr>
          <w:rFonts w:hint="eastAsia"/>
        </w:rPr>
        <w:t>D调查资料进行整理、分析，校核修正得到项目影响区基年（20</w:t>
      </w:r>
      <w:r>
        <w:t>2</w:t>
      </w:r>
      <w:r>
        <w:rPr>
          <w:rFonts w:hint="eastAsia"/>
          <w:lang w:val="en-US" w:eastAsia="zh-CN"/>
        </w:rPr>
        <w:t>5</w:t>
      </w:r>
      <w:r>
        <w:rPr>
          <w:rFonts w:hint="eastAsia"/>
        </w:rPr>
        <w:t>年）现状OD交通模型；</w:t>
      </w:r>
    </w:p>
    <w:p w14:paraId="3E83C8E0">
      <w:pPr>
        <w:ind w:firstLine="480"/>
      </w:pPr>
      <w:r>
        <w:rPr>
          <w:rFonts w:hint="eastAsia"/>
        </w:rPr>
        <w:t>（2）分析近期交通改善详细规划，确定人口规模，根据土地开发类型、岗位数确定项目周边的出行次数，运用原单位法预测出各个直接影响区域的发生吸引量；</w:t>
      </w:r>
    </w:p>
    <w:p w14:paraId="60BE21C0">
      <w:pPr>
        <w:ind w:firstLine="480"/>
      </w:pPr>
      <w:r>
        <w:rPr>
          <w:rFonts w:hint="eastAsia"/>
        </w:rPr>
        <w:t>（3）分析历史年份交通运输指标和社会经济发展指标之间的相互关系，得出各个影响区交通运输指标对社会经济指标的弹性系数，按照增长率法预测各个间接影响区的交通吸引量和发生量；研究项目影响区内交通分布规律，采用重力模型法进行交通分布预测；</w:t>
      </w:r>
    </w:p>
    <w:p w14:paraId="79219D8F">
      <w:pPr>
        <w:ind w:firstLine="480"/>
      </w:pPr>
      <w:r>
        <w:rPr>
          <w:rFonts w:hint="eastAsia"/>
        </w:rPr>
        <w:t>（4）进行交通量分配预测，得出未来年份交通量预测结果，最后以插值法求得各特征年路段交通量和交通生成量（交通吸引量和发生量），建立年度模型进行预测。</w:t>
      </w:r>
    </w:p>
    <w:p w14:paraId="19A67CD9">
      <w:pPr>
        <w:ind w:firstLine="0" w:firstLineChars="0"/>
        <w:jc w:val="center"/>
      </w:pPr>
      <w:r>
        <w:drawing>
          <wp:inline distT="0" distB="0" distL="0" distR="0">
            <wp:extent cx="3924300" cy="3744595"/>
            <wp:effectExtent l="0" t="0" r="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3968424" cy="3786902"/>
                    </a:xfrm>
                    <a:prstGeom prst="rect">
                      <a:avLst/>
                    </a:prstGeom>
                  </pic:spPr>
                </pic:pic>
              </a:graphicData>
            </a:graphic>
          </wp:inline>
        </w:drawing>
      </w:r>
    </w:p>
    <w:p w14:paraId="23105B17">
      <w:pPr>
        <w:ind w:firstLine="0" w:firstLineChars="0"/>
        <w:jc w:val="center"/>
        <w:rPr>
          <w:b/>
          <w:bCs/>
        </w:rPr>
      </w:pPr>
      <w:r>
        <w:rPr>
          <w:rFonts w:hint="eastAsia"/>
          <w:b/>
          <w:bCs/>
        </w:rPr>
        <w:t>交通量分析预测基本思路图</w:t>
      </w:r>
    </w:p>
    <w:p w14:paraId="4583350E">
      <w:pPr>
        <w:pStyle w:val="5"/>
        <w:numPr>
          <w:ilvl w:val="0"/>
          <w:numId w:val="0"/>
        </w:numPr>
        <w:spacing w:before="163" w:after="163"/>
        <w:ind w:left="284"/>
      </w:pPr>
      <w:bookmarkStart w:id="56" w:name="_Toc49527732"/>
      <w:bookmarkStart w:id="57" w:name="_Toc76668291"/>
      <w:bookmarkStart w:id="58" w:name="_Toc71703547"/>
      <w:bookmarkStart w:id="59" w:name="_Toc28859"/>
      <w:r>
        <w:rPr>
          <w:rFonts w:hint="eastAsia"/>
        </w:rPr>
        <w:t>2</w:t>
      </w:r>
      <w:r>
        <w:t>.2.3</w:t>
      </w:r>
      <w:r>
        <w:rPr>
          <w:rFonts w:hint="eastAsia"/>
        </w:rPr>
        <w:t>预测内容</w:t>
      </w:r>
      <w:bookmarkEnd w:id="56"/>
      <w:bookmarkEnd w:id="57"/>
      <w:bookmarkEnd w:id="58"/>
      <w:bookmarkEnd w:id="59"/>
    </w:p>
    <w:p w14:paraId="559740A9">
      <w:pPr>
        <w:ind w:firstLine="480"/>
      </w:pPr>
      <w:r>
        <w:rPr>
          <w:rFonts w:hint="eastAsia"/>
        </w:rPr>
        <w:t>本项目的远景交通量，包括以下3个部分：</w:t>
      </w:r>
    </w:p>
    <w:p w14:paraId="269886C9">
      <w:pPr>
        <w:ind w:firstLine="480"/>
      </w:pPr>
      <w:r>
        <w:rPr>
          <w:rFonts w:hint="eastAsia"/>
        </w:rPr>
        <w:t>（1）趋势交通量</w:t>
      </w:r>
    </w:p>
    <w:p w14:paraId="44779C5E">
      <w:pPr>
        <w:ind w:firstLine="480"/>
      </w:pPr>
      <w:r>
        <w:rPr>
          <w:rFonts w:hint="eastAsia"/>
        </w:rPr>
        <w:t>趋势交通量主要是随着社会经济发展而增长的交通量。未来趋势型交通量预测，主要通过研究未来社会经济的发展趋势，以及交通量同社会经济发展的相关关系，分析未来交通量增长的速度，从而计算出未来趋势交通量。</w:t>
      </w:r>
    </w:p>
    <w:p w14:paraId="3BB6A9B3">
      <w:pPr>
        <w:ind w:firstLine="480"/>
      </w:pPr>
      <w:r>
        <w:rPr>
          <w:rFonts w:hint="eastAsia"/>
        </w:rPr>
        <w:t>（2）诱增交通量</w:t>
      </w:r>
    </w:p>
    <w:p w14:paraId="699912EA">
      <w:pPr>
        <w:ind w:firstLine="480"/>
      </w:pPr>
      <w:r>
        <w:rPr>
          <w:rFonts w:hint="eastAsia"/>
        </w:rPr>
        <w:t>本项目影响区域社会经济相对比较发达，经济交流活动比较多，道路交通条件的改善将进一步提高该地区的投资环境，加强地区经济联系，诱增经济产生新的增长，从而诱发新的交通量。</w:t>
      </w:r>
    </w:p>
    <w:p w14:paraId="30778183">
      <w:pPr>
        <w:ind w:firstLine="480"/>
      </w:pPr>
      <w:r>
        <w:rPr>
          <w:rFonts w:hint="eastAsia"/>
        </w:rPr>
        <w:t>（3）转移交通量</w:t>
      </w:r>
    </w:p>
    <w:p w14:paraId="73B044A5">
      <w:pPr>
        <w:ind w:firstLine="480"/>
      </w:pPr>
      <w:r>
        <w:rPr>
          <w:rFonts w:hint="eastAsia"/>
        </w:rPr>
        <w:t>本项目建成后将转移附近道路的交通量，为在项目附近区域内工作的人们提供更多到达目的地的路径，可以大大的降低区域快速路的高峰小时交通量。</w:t>
      </w:r>
    </w:p>
    <w:p w14:paraId="4C4667C6">
      <w:pPr>
        <w:pStyle w:val="5"/>
        <w:numPr>
          <w:ilvl w:val="0"/>
          <w:numId w:val="0"/>
        </w:numPr>
        <w:spacing w:before="163" w:after="163"/>
        <w:ind w:left="284"/>
      </w:pPr>
      <w:bookmarkStart w:id="60" w:name="_Toc76668292"/>
      <w:bookmarkStart w:id="61" w:name="_Toc71703548"/>
      <w:bookmarkStart w:id="62" w:name="_Toc49527733"/>
      <w:bookmarkStart w:id="63" w:name="_Toc14181"/>
      <w:r>
        <w:rPr>
          <w:rFonts w:hint="eastAsia"/>
        </w:rPr>
        <w:t>2</w:t>
      </w:r>
      <w:r>
        <w:t>.2.4</w:t>
      </w:r>
      <w:r>
        <w:rPr>
          <w:rFonts w:hint="eastAsia"/>
        </w:rPr>
        <w:t>预测结果</w:t>
      </w:r>
      <w:bookmarkEnd w:id="60"/>
      <w:bookmarkEnd w:id="61"/>
      <w:bookmarkEnd w:id="62"/>
      <w:bookmarkEnd w:id="63"/>
    </w:p>
    <w:p w14:paraId="4407FE42">
      <w:pPr>
        <w:ind w:firstLine="480"/>
      </w:pPr>
      <w:r>
        <w:rPr>
          <w:rFonts w:hint="eastAsia"/>
        </w:rPr>
        <w:t>根据前述的分析和参数设定，分析相关道路沿线居民分布情况以及其相交道路的交通分流情况，采用四阶段法，综合得出交通流量预测结果，预测结果见下表：</w:t>
      </w:r>
    </w:p>
    <w:p w14:paraId="01B1EFF7">
      <w:pPr>
        <w:ind w:firstLine="0" w:firstLineChars="0"/>
        <w:jc w:val="center"/>
        <w:rPr>
          <w:b/>
          <w:bCs/>
        </w:rPr>
      </w:pPr>
      <w:r>
        <w:rPr>
          <w:rFonts w:hint="eastAsia"/>
          <w:b/>
          <w:bCs/>
        </w:rPr>
        <w:t>特征年本项目道路交通量预测结</w:t>
      </w:r>
    </w:p>
    <w:tbl>
      <w:tblPr>
        <w:tblStyle w:val="88"/>
        <w:tblW w:w="0" w:type="auto"/>
        <w:jc w:val="center"/>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tblLayout w:type="autofit"/>
        <w:tblCellMar>
          <w:top w:w="0" w:type="dxa"/>
          <w:left w:w="108" w:type="dxa"/>
          <w:bottom w:w="0" w:type="dxa"/>
          <w:right w:w="108" w:type="dxa"/>
        </w:tblCellMar>
      </w:tblPr>
      <w:tblGrid>
        <w:gridCol w:w="1636"/>
        <w:gridCol w:w="1630"/>
        <w:gridCol w:w="1630"/>
        <w:gridCol w:w="1631"/>
        <w:gridCol w:w="1631"/>
      </w:tblGrid>
      <w:tr w14:paraId="0CF05CD9">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tblCellMar>
            <w:top w:w="0" w:type="dxa"/>
            <w:left w:w="108" w:type="dxa"/>
            <w:bottom w:w="0" w:type="dxa"/>
            <w:right w:w="108" w:type="dxa"/>
          </w:tblCellMar>
        </w:tblPrEx>
        <w:trPr>
          <w:jc w:val="center"/>
        </w:trPr>
        <w:tc>
          <w:tcPr>
            <w:tcW w:w="1636" w:type="dxa"/>
            <w:vAlign w:val="center"/>
          </w:tcPr>
          <w:p w14:paraId="224F7CDF">
            <w:pPr>
              <w:spacing w:line="240" w:lineRule="auto"/>
              <w:ind w:firstLine="0" w:firstLineChars="0"/>
              <w:jc w:val="center"/>
              <w:rPr>
                <w:bCs/>
                <w:sz w:val="21"/>
                <w:szCs w:val="21"/>
              </w:rPr>
            </w:pPr>
            <w:r>
              <w:rPr>
                <w:rFonts w:hint="eastAsia"/>
                <w:bCs/>
                <w:sz w:val="21"/>
                <w:szCs w:val="21"/>
              </w:rPr>
              <w:t>特征年</w:t>
            </w:r>
          </w:p>
        </w:tc>
        <w:tc>
          <w:tcPr>
            <w:tcW w:w="1630" w:type="dxa"/>
            <w:vAlign w:val="center"/>
          </w:tcPr>
          <w:p w14:paraId="5E763BF2">
            <w:pPr>
              <w:spacing w:line="240" w:lineRule="auto"/>
              <w:ind w:firstLine="0" w:firstLineChars="0"/>
              <w:jc w:val="center"/>
              <w:rPr>
                <w:bCs/>
                <w:sz w:val="21"/>
                <w:szCs w:val="21"/>
              </w:rPr>
            </w:pPr>
            <w:r>
              <w:rPr>
                <w:bCs/>
                <w:sz w:val="21"/>
                <w:szCs w:val="21"/>
              </w:rPr>
              <w:t>202</w:t>
            </w:r>
            <w:r>
              <w:rPr>
                <w:rFonts w:hint="eastAsia"/>
                <w:bCs/>
                <w:sz w:val="21"/>
                <w:szCs w:val="21"/>
                <w:lang w:val="en-US" w:eastAsia="zh-CN"/>
              </w:rPr>
              <w:t>5</w:t>
            </w:r>
            <w:r>
              <w:rPr>
                <w:rFonts w:hint="eastAsia"/>
                <w:bCs/>
                <w:sz w:val="21"/>
                <w:szCs w:val="21"/>
              </w:rPr>
              <w:t>年</w:t>
            </w:r>
          </w:p>
        </w:tc>
        <w:tc>
          <w:tcPr>
            <w:tcW w:w="1630" w:type="dxa"/>
            <w:vAlign w:val="center"/>
          </w:tcPr>
          <w:p w14:paraId="78E6A7F3">
            <w:pPr>
              <w:spacing w:line="240" w:lineRule="auto"/>
              <w:ind w:firstLine="0" w:firstLineChars="0"/>
              <w:jc w:val="center"/>
              <w:rPr>
                <w:bCs/>
                <w:sz w:val="21"/>
                <w:szCs w:val="21"/>
              </w:rPr>
            </w:pPr>
            <w:r>
              <w:rPr>
                <w:rFonts w:hint="eastAsia"/>
                <w:bCs/>
                <w:sz w:val="21"/>
                <w:szCs w:val="21"/>
              </w:rPr>
              <w:t>2</w:t>
            </w:r>
            <w:r>
              <w:rPr>
                <w:bCs/>
                <w:sz w:val="21"/>
                <w:szCs w:val="21"/>
              </w:rPr>
              <w:t>02</w:t>
            </w:r>
            <w:r>
              <w:rPr>
                <w:rFonts w:hint="eastAsia"/>
                <w:bCs/>
                <w:sz w:val="21"/>
                <w:szCs w:val="21"/>
                <w:lang w:val="en-US" w:eastAsia="zh-CN"/>
              </w:rPr>
              <w:t>9</w:t>
            </w:r>
            <w:r>
              <w:rPr>
                <w:rFonts w:hint="eastAsia"/>
                <w:bCs/>
                <w:sz w:val="21"/>
                <w:szCs w:val="21"/>
              </w:rPr>
              <w:t>年</w:t>
            </w:r>
          </w:p>
        </w:tc>
        <w:tc>
          <w:tcPr>
            <w:tcW w:w="1631" w:type="dxa"/>
            <w:vAlign w:val="center"/>
          </w:tcPr>
          <w:p w14:paraId="43C60AD7">
            <w:pPr>
              <w:spacing w:line="240" w:lineRule="auto"/>
              <w:ind w:firstLine="0" w:firstLineChars="0"/>
              <w:jc w:val="center"/>
              <w:rPr>
                <w:bCs/>
                <w:sz w:val="21"/>
                <w:szCs w:val="21"/>
              </w:rPr>
            </w:pPr>
            <w:r>
              <w:rPr>
                <w:rFonts w:hint="eastAsia"/>
                <w:bCs/>
                <w:sz w:val="21"/>
                <w:szCs w:val="21"/>
              </w:rPr>
              <w:t>2</w:t>
            </w:r>
            <w:r>
              <w:rPr>
                <w:bCs/>
                <w:sz w:val="21"/>
                <w:szCs w:val="21"/>
              </w:rPr>
              <w:t>03</w:t>
            </w:r>
            <w:r>
              <w:rPr>
                <w:rFonts w:hint="eastAsia"/>
                <w:bCs/>
                <w:sz w:val="21"/>
                <w:szCs w:val="21"/>
                <w:lang w:val="en-US" w:eastAsia="zh-CN"/>
              </w:rPr>
              <w:t>4</w:t>
            </w:r>
            <w:r>
              <w:rPr>
                <w:rFonts w:hint="eastAsia"/>
                <w:bCs/>
                <w:sz w:val="21"/>
                <w:szCs w:val="21"/>
              </w:rPr>
              <w:t>年</w:t>
            </w:r>
          </w:p>
        </w:tc>
        <w:tc>
          <w:tcPr>
            <w:tcW w:w="1631" w:type="dxa"/>
            <w:vAlign w:val="center"/>
          </w:tcPr>
          <w:p w14:paraId="1F9AB3CC">
            <w:pPr>
              <w:spacing w:line="240" w:lineRule="auto"/>
              <w:ind w:firstLine="0" w:firstLineChars="0"/>
              <w:jc w:val="center"/>
              <w:rPr>
                <w:bCs/>
                <w:sz w:val="21"/>
                <w:szCs w:val="21"/>
              </w:rPr>
            </w:pPr>
            <w:r>
              <w:rPr>
                <w:rFonts w:hint="eastAsia"/>
                <w:bCs/>
                <w:sz w:val="21"/>
                <w:szCs w:val="21"/>
              </w:rPr>
              <w:t>2</w:t>
            </w:r>
            <w:r>
              <w:rPr>
                <w:bCs/>
                <w:sz w:val="21"/>
                <w:szCs w:val="21"/>
              </w:rPr>
              <w:t>03</w:t>
            </w:r>
            <w:r>
              <w:rPr>
                <w:rFonts w:hint="eastAsia"/>
                <w:bCs/>
                <w:sz w:val="21"/>
                <w:szCs w:val="21"/>
                <w:lang w:val="en-US" w:eastAsia="zh-CN"/>
              </w:rPr>
              <w:t>9</w:t>
            </w:r>
            <w:r>
              <w:rPr>
                <w:rFonts w:hint="eastAsia"/>
                <w:bCs/>
                <w:sz w:val="21"/>
                <w:szCs w:val="21"/>
              </w:rPr>
              <w:t>年</w:t>
            </w:r>
          </w:p>
        </w:tc>
      </w:tr>
      <w:tr w14:paraId="48E84EDB">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tblCellMar>
            <w:top w:w="0" w:type="dxa"/>
            <w:left w:w="108" w:type="dxa"/>
            <w:bottom w:w="0" w:type="dxa"/>
            <w:right w:w="108" w:type="dxa"/>
          </w:tblCellMar>
        </w:tblPrEx>
        <w:trPr>
          <w:jc w:val="center"/>
        </w:trPr>
        <w:tc>
          <w:tcPr>
            <w:tcW w:w="1636" w:type="dxa"/>
            <w:vAlign w:val="center"/>
          </w:tcPr>
          <w:p w14:paraId="7C26AC19">
            <w:pPr>
              <w:spacing w:line="240" w:lineRule="auto"/>
              <w:ind w:firstLine="0" w:firstLineChars="0"/>
              <w:jc w:val="center"/>
              <w:rPr>
                <w:bCs/>
                <w:sz w:val="21"/>
                <w:szCs w:val="21"/>
              </w:rPr>
            </w:pPr>
            <w:r>
              <w:rPr>
                <w:rFonts w:hint="eastAsia"/>
                <w:bCs/>
                <w:sz w:val="21"/>
                <w:szCs w:val="21"/>
              </w:rPr>
              <w:t>高峰小时交通量（p</w:t>
            </w:r>
            <w:r>
              <w:rPr>
                <w:bCs/>
                <w:sz w:val="21"/>
                <w:szCs w:val="21"/>
              </w:rPr>
              <w:t>cu/h</w:t>
            </w:r>
            <w:r>
              <w:rPr>
                <w:rFonts w:hint="eastAsia"/>
                <w:bCs/>
                <w:sz w:val="21"/>
                <w:szCs w:val="21"/>
              </w:rPr>
              <w:t>）</w:t>
            </w:r>
          </w:p>
        </w:tc>
        <w:tc>
          <w:tcPr>
            <w:tcW w:w="1630" w:type="dxa"/>
            <w:vAlign w:val="center"/>
          </w:tcPr>
          <w:p w14:paraId="72A52EEB">
            <w:pPr>
              <w:spacing w:line="240" w:lineRule="auto"/>
              <w:ind w:firstLine="0" w:firstLineChars="0"/>
              <w:jc w:val="center"/>
              <w:rPr>
                <w:bCs/>
                <w:sz w:val="21"/>
                <w:szCs w:val="21"/>
              </w:rPr>
            </w:pPr>
            <w:r>
              <w:rPr>
                <w:rFonts w:hint="eastAsia"/>
                <w:bCs/>
                <w:sz w:val="21"/>
                <w:szCs w:val="21"/>
              </w:rPr>
              <w:t>1</w:t>
            </w:r>
            <w:r>
              <w:rPr>
                <w:bCs/>
                <w:sz w:val="21"/>
                <w:szCs w:val="21"/>
              </w:rPr>
              <w:t>792</w:t>
            </w:r>
          </w:p>
        </w:tc>
        <w:tc>
          <w:tcPr>
            <w:tcW w:w="1630" w:type="dxa"/>
            <w:vAlign w:val="center"/>
          </w:tcPr>
          <w:p w14:paraId="4605E6AE">
            <w:pPr>
              <w:spacing w:line="240" w:lineRule="auto"/>
              <w:ind w:firstLine="0" w:firstLineChars="0"/>
              <w:jc w:val="center"/>
              <w:rPr>
                <w:bCs/>
                <w:sz w:val="21"/>
                <w:szCs w:val="21"/>
              </w:rPr>
            </w:pPr>
            <w:r>
              <w:rPr>
                <w:rFonts w:hint="eastAsia"/>
                <w:bCs/>
                <w:sz w:val="21"/>
                <w:szCs w:val="21"/>
              </w:rPr>
              <w:t>2</w:t>
            </w:r>
            <w:r>
              <w:rPr>
                <w:bCs/>
                <w:sz w:val="21"/>
                <w:szCs w:val="21"/>
              </w:rPr>
              <w:t>800</w:t>
            </w:r>
          </w:p>
        </w:tc>
        <w:tc>
          <w:tcPr>
            <w:tcW w:w="1631" w:type="dxa"/>
            <w:vAlign w:val="center"/>
          </w:tcPr>
          <w:p w14:paraId="6B6F7E0B">
            <w:pPr>
              <w:spacing w:line="240" w:lineRule="auto"/>
              <w:ind w:firstLine="0" w:firstLineChars="0"/>
              <w:jc w:val="center"/>
              <w:rPr>
                <w:bCs/>
                <w:sz w:val="21"/>
                <w:szCs w:val="21"/>
              </w:rPr>
            </w:pPr>
            <w:r>
              <w:rPr>
                <w:rFonts w:hint="eastAsia"/>
                <w:bCs/>
                <w:sz w:val="21"/>
                <w:szCs w:val="21"/>
              </w:rPr>
              <w:t>3</w:t>
            </w:r>
            <w:r>
              <w:rPr>
                <w:bCs/>
                <w:sz w:val="21"/>
                <w:szCs w:val="21"/>
              </w:rPr>
              <w:t>820</w:t>
            </w:r>
          </w:p>
        </w:tc>
        <w:tc>
          <w:tcPr>
            <w:tcW w:w="1631" w:type="dxa"/>
            <w:vAlign w:val="center"/>
          </w:tcPr>
          <w:p w14:paraId="2F436E39">
            <w:pPr>
              <w:spacing w:line="240" w:lineRule="auto"/>
              <w:ind w:firstLine="0" w:firstLineChars="0"/>
              <w:jc w:val="center"/>
              <w:rPr>
                <w:bCs/>
                <w:sz w:val="21"/>
                <w:szCs w:val="21"/>
              </w:rPr>
            </w:pPr>
            <w:r>
              <w:rPr>
                <w:rFonts w:hint="eastAsia"/>
                <w:bCs/>
                <w:sz w:val="21"/>
                <w:szCs w:val="21"/>
              </w:rPr>
              <w:t>4</w:t>
            </w:r>
            <w:r>
              <w:rPr>
                <w:bCs/>
                <w:sz w:val="21"/>
                <w:szCs w:val="21"/>
              </w:rPr>
              <w:t>850</w:t>
            </w:r>
          </w:p>
        </w:tc>
      </w:tr>
    </w:tbl>
    <w:p w14:paraId="3810DBA7">
      <w:pPr>
        <w:ind w:firstLine="480"/>
        <w:rPr>
          <w:rFonts w:hint="eastAsia"/>
          <w:lang w:eastAsia="zh-CN"/>
        </w:rPr>
      </w:pPr>
      <w:r>
        <w:rPr>
          <w:rFonts w:hint="eastAsia"/>
          <w:lang w:eastAsia="zh-CN"/>
        </w:rPr>
        <w:t>（</w:t>
      </w:r>
      <w:r>
        <w:rPr>
          <w:rFonts w:hint="eastAsia"/>
          <w:lang w:val="en-US" w:eastAsia="zh-CN"/>
        </w:rPr>
        <w:t>1</w:t>
      </w:r>
      <w:r>
        <w:rPr>
          <w:rFonts w:hint="eastAsia"/>
          <w:lang w:eastAsia="zh-CN"/>
        </w:rPr>
        <w:t>）通行能力</w:t>
      </w:r>
    </w:p>
    <w:p w14:paraId="79C75C66">
      <w:pPr>
        <w:widowControl w:val="0"/>
        <w:spacing w:line="360" w:lineRule="auto"/>
        <w:ind w:firstLine="480" w:firstLineChars="200"/>
        <w:rPr>
          <w:lang w:eastAsia="zh-CN"/>
        </w:rPr>
      </w:pPr>
      <w:r>
        <w:rPr>
          <w:rFonts w:hint="eastAsia"/>
          <w:lang w:eastAsia="zh-CN"/>
        </w:rPr>
        <w:t>根据《城市道路工程设计规范》（CJJ</w:t>
      </w:r>
      <w:r>
        <w:rPr>
          <w:lang w:eastAsia="zh-CN"/>
        </w:rPr>
        <w:t xml:space="preserve"> 37-2012</w:t>
      </w:r>
      <w:r>
        <w:rPr>
          <w:rFonts w:hint="eastAsia"/>
          <w:lang w:eastAsia="zh-CN"/>
        </w:rPr>
        <w:t>）各等级道路一条车道的通行能力见下表：</w:t>
      </w:r>
    </w:p>
    <w:p w14:paraId="7030A0E0">
      <w:pPr>
        <w:ind w:firstLine="0" w:firstLineChars="0"/>
        <w:jc w:val="center"/>
        <w:rPr>
          <w:rFonts w:hint="eastAsia"/>
          <w:b/>
          <w:bCs/>
        </w:rPr>
      </w:pPr>
      <w:r>
        <w:rPr>
          <w:rFonts w:hint="eastAsia"/>
          <w:b/>
          <w:bCs/>
        </w:rPr>
        <w:t>各等级道路一条车道的通行能力</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84"/>
        <w:gridCol w:w="1237"/>
        <w:gridCol w:w="1237"/>
        <w:gridCol w:w="1237"/>
        <w:gridCol w:w="1236"/>
        <w:gridCol w:w="1250"/>
      </w:tblGrid>
      <w:tr w14:paraId="39F81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077" w:type="dxa"/>
            <w:vAlign w:val="center"/>
          </w:tcPr>
          <w:p w14:paraId="149899E7">
            <w:pPr>
              <w:widowControl w:val="0"/>
              <w:spacing w:line="240" w:lineRule="auto"/>
              <w:ind w:left="0" w:leftChars="0" w:firstLine="0" w:firstLineChars="0"/>
              <w:jc w:val="center"/>
              <w:rPr>
                <w:rFonts w:hint="eastAsia"/>
              </w:rPr>
            </w:pPr>
            <w:r>
              <w:rPr>
                <w:rFonts w:hint="eastAsia"/>
              </w:rPr>
              <w:t>设计速度（km/h）</w:t>
            </w:r>
          </w:p>
        </w:tc>
        <w:tc>
          <w:tcPr>
            <w:tcW w:w="1276" w:type="dxa"/>
            <w:vAlign w:val="center"/>
          </w:tcPr>
          <w:p w14:paraId="3D54F561">
            <w:pPr>
              <w:widowControl w:val="0"/>
              <w:spacing w:line="240" w:lineRule="auto"/>
              <w:ind w:left="0" w:leftChars="0" w:firstLine="0" w:firstLineChars="0"/>
              <w:jc w:val="center"/>
              <w:rPr>
                <w:rFonts w:hint="eastAsia"/>
              </w:rPr>
            </w:pPr>
            <w:r>
              <w:rPr>
                <w:rFonts w:hint="eastAsia"/>
              </w:rPr>
              <w:t>60</w:t>
            </w:r>
          </w:p>
        </w:tc>
        <w:tc>
          <w:tcPr>
            <w:tcW w:w="1276" w:type="dxa"/>
            <w:vAlign w:val="center"/>
          </w:tcPr>
          <w:p w14:paraId="7F56687F">
            <w:pPr>
              <w:widowControl w:val="0"/>
              <w:spacing w:line="240" w:lineRule="auto"/>
              <w:ind w:left="0" w:leftChars="0" w:firstLine="0" w:firstLineChars="0"/>
              <w:jc w:val="center"/>
              <w:rPr>
                <w:rFonts w:hint="eastAsia"/>
              </w:rPr>
            </w:pPr>
            <w:r>
              <w:rPr>
                <w:rFonts w:hint="eastAsia"/>
              </w:rPr>
              <w:t>50</w:t>
            </w:r>
          </w:p>
        </w:tc>
        <w:tc>
          <w:tcPr>
            <w:tcW w:w="1276" w:type="dxa"/>
            <w:vAlign w:val="center"/>
          </w:tcPr>
          <w:p w14:paraId="30F3BD4F">
            <w:pPr>
              <w:widowControl w:val="0"/>
              <w:spacing w:line="240" w:lineRule="auto"/>
              <w:ind w:left="0" w:leftChars="0" w:firstLine="0" w:firstLineChars="0"/>
              <w:jc w:val="center"/>
              <w:rPr>
                <w:rFonts w:hint="eastAsia"/>
              </w:rPr>
            </w:pPr>
            <w:r>
              <w:rPr>
                <w:rFonts w:hint="eastAsia"/>
              </w:rPr>
              <w:t>40</w:t>
            </w:r>
          </w:p>
        </w:tc>
        <w:tc>
          <w:tcPr>
            <w:tcW w:w="1275" w:type="dxa"/>
            <w:vAlign w:val="center"/>
          </w:tcPr>
          <w:p w14:paraId="11B24C34">
            <w:pPr>
              <w:widowControl w:val="0"/>
              <w:spacing w:line="240" w:lineRule="auto"/>
              <w:ind w:left="0" w:leftChars="0" w:firstLine="0" w:firstLineChars="0"/>
              <w:jc w:val="center"/>
              <w:rPr>
                <w:rFonts w:hint="eastAsia"/>
              </w:rPr>
            </w:pPr>
            <w:r>
              <w:rPr>
                <w:rFonts w:hint="eastAsia"/>
              </w:rPr>
              <w:t>30</w:t>
            </w:r>
          </w:p>
        </w:tc>
        <w:tc>
          <w:tcPr>
            <w:tcW w:w="1290" w:type="dxa"/>
            <w:vAlign w:val="center"/>
          </w:tcPr>
          <w:p w14:paraId="00222BD4">
            <w:pPr>
              <w:widowControl w:val="0"/>
              <w:spacing w:line="240" w:lineRule="auto"/>
              <w:ind w:left="0" w:leftChars="0" w:firstLine="0" w:firstLineChars="0"/>
              <w:jc w:val="center"/>
              <w:rPr>
                <w:rFonts w:hint="eastAsia"/>
              </w:rPr>
            </w:pPr>
            <w:r>
              <w:rPr>
                <w:rFonts w:hint="eastAsia"/>
              </w:rPr>
              <w:t>20</w:t>
            </w:r>
          </w:p>
        </w:tc>
      </w:tr>
      <w:tr w14:paraId="564DB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077" w:type="dxa"/>
            <w:vAlign w:val="center"/>
          </w:tcPr>
          <w:p w14:paraId="7E4B0733">
            <w:pPr>
              <w:widowControl w:val="0"/>
              <w:spacing w:line="240" w:lineRule="auto"/>
              <w:ind w:left="0" w:leftChars="0" w:firstLine="0" w:firstLineChars="0"/>
              <w:jc w:val="center"/>
              <w:rPr>
                <w:rFonts w:hint="eastAsia"/>
              </w:rPr>
            </w:pPr>
            <w:r>
              <w:rPr>
                <w:rFonts w:hint="eastAsia"/>
              </w:rPr>
              <w:t>基本通行能力（pcu/h）</w:t>
            </w:r>
          </w:p>
        </w:tc>
        <w:tc>
          <w:tcPr>
            <w:tcW w:w="1276" w:type="dxa"/>
            <w:vAlign w:val="center"/>
          </w:tcPr>
          <w:p w14:paraId="1F603D12">
            <w:pPr>
              <w:widowControl w:val="0"/>
              <w:spacing w:line="240" w:lineRule="auto"/>
              <w:ind w:left="0" w:leftChars="0" w:firstLine="0" w:firstLineChars="0"/>
              <w:jc w:val="center"/>
              <w:rPr>
                <w:rFonts w:hint="eastAsia"/>
              </w:rPr>
            </w:pPr>
            <w:r>
              <w:rPr>
                <w:rFonts w:hint="eastAsia"/>
              </w:rPr>
              <w:t>1800</w:t>
            </w:r>
          </w:p>
        </w:tc>
        <w:tc>
          <w:tcPr>
            <w:tcW w:w="1276" w:type="dxa"/>
            <w:vAlign w:val="center"/>
          </w:tcPr>
          <w:p w14:paraId="4A1393A9">
            <w:pPr>
              <w:widowControl w:val="0"/>
              <w:spacing w:line="240" w:lineRule="auto"/>
              <w:ind w:left="0" w:leftChars="0" w:firstLine="0" w:firstLineChars="0"/>
              <w:jc w:val="center"/>
              <w:rPr>
                <w:rFonts w:hint="eastAsia"/>
              </w:rPr>
            </w:pPr>
            <w:r>
              <w:rPr>
                <w:rFonts w:hint="eastAsia"/>
              </w:rPr>
              <w:t>1700</w:t>
            </w:r>
          </w:p>
        </w:tc>
        <w:tc>
          <w:tcPr>
            <w:tcW w:w="1276" w:type="dxa"/>
            <w:vAlign w:val="center"/>
          </w:tcPr>
          <w:p w14:paraId="6C14961B">
            <w:pPr>
              <w:widowControl w:val="0"/>
              <w:spacing w:line="240" w:lineRule="auto"/>
              <w:ind w:left="0" w:leftChars="0" w:firstLine="0" w:firstLineChars="0"/>
              <w:jc w:val="center"/>
              <w:rPr>
                <w:rFonts w:hint="eastAsia"/>
              </w:rPr>
            </w:pPr>
            <w:r>
              <w:rPr>
                <w:rFonts w:hint="eastAsia"/>
              </w:rPr>
              <w:t>1650</w:t>
            </w:r>
          </w:p>
        </w:tc>
        <w:tc>
          <w:tcPr>
            <w:tcW w:w="1275" w:type="dxa"/>
            <w:vAlign w:val="center"/>
          </w:tcPr>
          <w:p w14:paraId="6CCF703C">
            <w:pPr>
              <w:widowControl w:val="0"/>
              <w:spacing w:line="240" w:lineRule="auto"/>
              <w:ind w:left="0" w:leftChars="0" w:firstLine="0" w:firstLineChars="0"/>
              <w:jc w:val="center"/>
              <w:rPr>
                <w:rFonts w:hint="eastAsia"/>
              </w:rPr>
            </w:pPr>
            <w:r>
              <w:rPr>
                <w:rFonts w:hint="eastAsia"/>
              </w:rPr>
              <w:t>1600</w:t>
            </w:r>
          </w:p>
        </w:tc>
        <w:tc>
          <w:tcPr>
            <w:tcW w:w="1290" w:type="dxa"/>
            <w:vAlign w:val="center"/>
          </w:tcPr>
          <w:p w14:paraId="6D119353">
            <w:pPr>
              <w:widowControl w:val="0"/>
              <w:spacing w:line="240" w:lineRule="auto"/>
              <w:ind w:left="0" w:leftChars="0" w:firstLine="0" w:firstLineChars="0"/>
              <w:jc w:val="center"/>
              <w:rPr>
                <w:rFonts w:hint="eastAsia"/>
              </w:rPr>
            </w:pPr>
            <w:r>
              <w:rPr>
                <w:rFonts w:hint="eastAsia"/>
              </w:rPr>
              <w:t>1400</w:t>
            </w:r>
          </w:p>
        </w:tc>
      </w:tr>
      <w:tr w14:paraId="61329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077" w:type="dxa"/>
            <w:vAlign w:val="center"/>
          </w:tcPr>
          <w:p w14:paraId="7E43C9BD">
            <w:pPr>
              <w:widowControl w:val="0"/>
              <w:spacing w:line="240" w:lineRule="auto"/>
              <w:ind w:left="0" w:leftChars="0" w:firstLine="0" w:firstLineChars="0"/>
              <w:jc w:val="center"/>
              <w:rPr>
                <w:rFonts w:hint="eastAsia"/>
                <w:lang w:eastAsia="zh-CN"/>
              </w:rPr>
            </w:pPr>
            <w:r>
              <w:rPr>
                <w:rFonts w:hint="eastAsia"/>
                <w:lang w:eastAsia="zh-CN"/>
              </w:rPr>
              <w:t>设计通行能力（puc/h）</w:t>
            </w:r>
          </w:p>
        </w:tc>
        <w:tc>
          <w:tcPr>
            <w:tcW w:w="1276" w:type="dxa"/>
            <w:vAlign w:val="center"/>
          </w:tcPr>
          <w:p w14:paraId="099F632E">
            <w:pPr>
              <w:widowControl w:val="0"/>
              <w:spacing w:line="240" w:lineRule="auto"/>
              <w:ind w:left="0" w:leftChars="0" w:firstLine="0" w:firstLineChars="0"/>
              <w:jc w:val="center"/>
              <w:rPr>
                <w:rFonts w:hint="eastAsia"/>
              </w:rPr>
            </w:pPr>
            <w:r>
              <w:rPr>
                <w:rFonts w:hint="eastAsia"/>
              </w:rPr>
              <w:t>1400</w:t>
            </w:r>
          </w:p>
        </w:tc>
        <w:tc>
          <w:tcPr>
            <w:tcW w:w="1276" w:type="dxa"/>
            <w:vAlign w:val="center"/>
          </w:tcPr>
          <w:p w14:paraId="42AC9794">
            <w:pPr>
              <w:widowControl w:val="0"/>
              <w:spacing w:line="240" w:lineRule="auto"/>
              <w:ind w:left="0" w:leftChars="0" w:firstLine="0" w:firstLineChars="0"/>
              <w:jc w:val="center"/>
              <w:rPr>
                <w:rFonts w:hint="eastAsia"/>
              </w:rPr>
            </w:pPr>
            <w:r>
              <w:rPr>
                <w:rFonts w:hint="eastAsia"/>
              </w:rPr>
              <w:t>1350</w:t>
            </w:r>
          </w:p>
        </w:tc>
        <w:tc>
          <w:tcPr>
            <w:tcW w:w="1276" w:type="dxa"/>
            <w:vAlign w:val="center"/>
          </w:tcPr>
          <w:p w14:paraId="723FE79F">
            <w:pPr>
              <w:widowControl w:val="0"/>
              <w:spacing w:line="240" w:lineRule="auto"/>
              <w:ind w:left="0" w:leftChars="0" w:firstLine="0" w:firstLineChars="0"/>
              <w:jc w:val="center"/>
              <w:rPr>
                <w:rFonts w:hint="eastAsia"/>
              </w:rPr>
            </w:pPr>
            <w:r>
              <w:rPr>
                <w:rFonts w:hint="eastAsia"/>
              </w:rPr>
              <w:t>1300</w:t>
            </w:r>
          </w:p>
        </w:tc>
        <w:tc>
          <w:tcPr>
            <w:tcW w:w="1275" w:type="dxa"/>
            <w:vAlign w:val="center"/>
          </w:tcPr>
          <w:p w14:paraId="18A5BD51">
            <w:pPr>
              <w:widowControl w:val="0"/>
              <w:spacing w:line="240" w:lineRule="auto"/>
              <w:ind w:left="0" w:leftChars="0" w:firstLine="0" w:firstLineChars="0"/>
              <w:jc w:val="center"/>
              <w:rPr>
                <w:rFonts w:hint="eastAsia"/>
              </w:rPr>
            </w:pPr>
            <w:r>
              <w:rPr>
                <w:rFonts w:hint="eastAsia"/>
              </w:rPr>
              <w:t>1300</w:t>
            </w:r>
          </w:p>
        </w:tc>
        <w:tc>
          <w:tcPr>
            <w:tcW w:w="1290" w:type="dxa"/>
            <w:vAlign w:val="center"/>
          </w:tcPr>
          <w:p w14:paraId="295C9E53">
            <w:pPr>
              <w:widowControl w:val="0"/>
              <w:spacing w:line="240" w:lineRule="auto"/>
              <w:ind w:left="0" w:leftChars="0" w:firstLine="0" w:firstLineChars="0"/>
              <w:jc w:val="center"/>
              <w:rPr>
                <w:rFonts w:hint="eastAsia"/>
              </w:rPr>
            </w:pPr>
            <w:r>
              <w:rPr>
                <w:rFonts w:hint="eastAsia"/>
              </w:rPr>
              <w:t>1100</w:t>
            </w:r>
          </w:p>
        </w:tc>
      </w:tr>
    </w:tbl>
    <w:p w14:paraId="6DE773DA">
      <w:pPr>
        <w:ind w:firstLine="480"/>
        <w:rPr>
          <w:rFonts w:hint="eastAsia"/>
          <w:lang w:eastAsia="zh-CN"/>
        </w:rPr>
      </w:pPr>
      <w:r>
        <w:rPr>
          <w:rFonts w:hint="eastAsia"/>
          <w:lang w:eastAsia="zh-CN"/>
        </w:rPr>
        <w:t>（</w:t>
      </w:r>
      <w:r>
        <w:rPr>
          <w:rFonts w:hint="eastAsia"/>
          <w:lang w:val="en-US" w:eastAsia="zh-CN"/>
        </w:rPr>
        <w:t>2</w:t>
      </w:r>
      <w:r>
        <w:rPr>
          <w:rFonts w:hint="eastAsia"/>
          <w:lang w:eastAsia="zh-CN"/>
        </w:rPr>
        <w:t>）服务水平分析</w:t>
      </w:r>
    </w:p>
    <w:p w14:paraId="6354656F">
      <w:pPr>
        <w:widowControl w:val="0"/>
        <w:spacing w:line="360" w:lineRule="auto"/>
        <w:ind w:firstLine="480" w:firstLineChars="200"/>
        <w:rPr>
          <w:lang w:eastAsia="zh-CN"/>
        </w:rPr>
      </w:pPr>
      <w:r>
        <w:rPr>
          <w:rFonts w:hint="eastAsia"/>
          <w:lang w:eastAsia="zh-CN"/>
        </w:rPr>
        <w:t>根据根据《城市道路工程设计规范》（CJJ</w:t>
      </w:r>
      <w:r>
        <w:rPr>
          <w:lang w:eastAsia="zh-CN"/>
        </w:rPr>
        <w:t xml:space="preserve"> 37-2012</w:t>
      </w:r>
      <w:r>
        <w:rPr>
          <w:rFonts w:hint="eastAsia"/>
          <w:lang w:eastAsia="zh-CN"/>
        </w:rPr>
        <w:t>），各道路服务水平主要服务水平主要根据负荷度（V/</w:t>
      </w:r>
      <w:r>
        <w:rPr>
          <w:lang w:eastAsia="zh-CN"/>
        </w:rPr>
        <w:t>C</w:t>
      </w:r>
      <w:r>
        <w:rPr>
          <w:rFonts w:hint="eastAsia"/>
          <w:lang w:eastAsia="zh-CN"/>
        </w:rPr>
        <w:t>）确定。根据预测交通量及给定设计速度条件下一条车道的通行能力，计算得本项目各道路在特征</w:t>
      </w:r>
      <w:r>
        <w:rPr>
          <w:rFonts w:hint="eastAsia"/>
          <w:shd w:val="clear" w:color="auto" w:fill="FFFFFF"/>
          <w:lang w:eastAsia="zh-CN" w:bidi="ar-SA"/>
        </w:rPr>
        <w:t>年下</w:t>
      </w:r>
      <w:r>
        <w:rPr>
          <w:rFonts w:hint="eastAsia"/>
          <w:lang w:eastAsia="zh-CN"/>
        </w:rPr>
        <w:t>的服务水平见下表：</w:t>
      </w:r>
    </w:p>
    <w:p w14:paraId="37C43B40">
      <w:pPr>
        <w:ind w:firstLine="0" w:firstLineChars="0"/>
        <w:jc w:val="center"/>
        <w:rPr>
          <w:rFonts w:hint="eastAsia"/>
          <w:b/>
          <w:bCs/>
        </w:rPr>
      </w:pPr>
      <w:r>
        <w:rPr>
          <w:rFonts w:hint="eastAsia"/>
          <w:b/>
          <w:bCs/>
        </w:rPr>
        <w:t>服务水平表</w:t>
      </w:r>
    </w:p>
    <w:tbl>
      <w:tblPr>
        <w:tblStyle w:val="90"/>
        <w:tblW w:w="79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6"/>
        <w:gridCol w:w="881"/>
        <w:gridCol w:w="1416"/>
        <w:gridCol w:w="1416"/>
        <w:gridCol w:w="1296"/>
        <w:gridCol w:w="1656"/>
      </w:tblGrid>
      <w:tr w14:paraId="6F67F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16" w:type="dxa"/>
            <w:vAlign w:val="center"/>
          </w:tcPr>
          <w:p w14:paraId="7E21DD9D">
            <w:pPr>
              <w:pStyle w:val="186"/>
              <w:widowControl w:val="0"/>
              <w:spacing w:line="240" w:lineRule="auto"/>
              <w:ind w:firstLine="0" w:firstLineChars="0"/>
              <w:jc w:val="center"/>
              <w:rPr>
                <w:rFonts w:cs="Times New Roman"/>
                <w:sz w:val="24"/>
                <w:szCs w:val="24"/>
              </w:rPr>
            </w:pPr>
            <w:r>
              <w:rPr>
                <w:rFonts w:hint="eastAsia" w:cs="Times New Roman"/>
                <w:sz w:val="24"/>
                <w:szCs w:val="24"/>
              </w:rPr>
              <w:t>道路</w:t>
            </w:r>
          </w:p>
        </w:tc>
        <w:tc>
          <w:tcPr>
            <w:tcW w:w="881" w:type="dxa"/>
            <w:vAlign w:val="center"/>
          </w:tcPr>
          <w:p w14:paraId="743FC84B">
            <w:pPr>
              <w:pStyle w:val="186"/>
              <w:widowControl w:val="0"/>
              <w:spacing w:line="240" w:lineRule="auto"/>
              <w:ind w:firstLine="0" w:firstLineChars="0"/>
              <w:jc w:val="center"/>
              <w:rPr>
                <w:rFonts w:cs="Times New Roman"/>
                <w:sz w:val="24"/>
                <w:szCs w:val="24"/>
              </w:rPr>
            </w:pPr>
            <w:r>
              <w:rPr>
                <w:rFonts w:hint="eastAsia" w:cs="Times New Roman"/>
                <w:sz w:val="24"/>
                <w:szCs w:val="24"/>
              </w:rPr>
              <w:t>时间</w:t>
            </w:r>
          </w:p>
        </w:tc>
        <w:tc>
          <w:tcPr>
            <w:tcW w:w="1416" w:type="dxa"/>
            <w:vAlign w:val="center"/>
          </w:tcPr>
          <w:p w14:paraId="4DF3D39D">
            <w:pPr>
              <w:pStyle w:val="186"/>
              <w:widowControl w:val="0"/>
              <w:spacing w:line="240" w:lineRule="auto"/>
              <w:ind w:firstLine="0" w:firstLineChars="0"/>
              <w:jc w:val="center"/>
              <w:rPr>
                <w:rFonts w:cs="Times New Roman"/>
                <w:sz w:val="24"/>
                <w:szCs w:val="24"/>
              </w:rPr>
            </w:pPr>
            <w:r>
              <w:rPr>
                <w:rFonts w:cs="Times New Roman"/>
                <w:sz w:val="24"/>
                <w:szCs w:val="24"/>
              </w:rPr>
              <w:t>道路等级</w:t>
            </w:r>
          </w:p>
        </w:tc>
        <w:tc>
          <w:tcPr>
            <w:tcW w:w="1416" w:type="dxa"/>
            <w:vAlign w:val="center"/>
          </w:tcPr>
          <w:p w14:paraId="1E0A1D4E">
            <w:pPr>
              <w:pStyle w:val="186"/>
              <w:widowControl w:val="0"/>
              <w:spacing w:line="240" w:lineRule="auto"/>
              <w:ind w:firstLine="0" w:firstLineChars="0"/>
              <w:jc w:val="center"/>
              <w:rPr>
                <w:rFonts w:hint="eastAsia" w:cs="Times New Roman"/>
                <w:sz w:val="24"/>
                <w:szCs w:val="24"/>
              </w:rPr>
            </w:pPr>
            <w:r>
              <w:rPr>
                <w:rFonts w:hint="eastAsia" w:cs="Times New Roman"/>
                <w:sz w:val="24"/>
                <w:szCs w:val="24"/>
                <w:lang w:eastAsia="zh-CN"/>
              </w:rPr>
              <w:t>双向车道数</w:t>
            </w:r>
          </w:p>
        </w:tc>
        <w:tc>
          <w:tcPr>
            <w:tcW w:w="1296" w:type="dxa"/>
            <w:vAlign w:val="center"/>
          </w:tcPr>
          <w:p w14:paraId="05130910">
            <w:pPr>
              <w:pStyle w:val="186"/>
              <w:widowControl w:val="0"/>
              <w:spacing w:line="240" w:lineRule="auto"/>
              <w:ind w:firstLine="0" w:firstLineChars="0"/>
              <w:jc w:val="center"/>
              <w:rPr>
                <w:rFonts w:hint="eastAsia" w:cs="Times New Roman"/>
                <w:sz w:val="24"/>
                <w:szCs w:val="24"/>
                <w:lang w:eastAsia="zh-CN"/>
              </w:rPr>
            </w:pPr>
            <w:r>
              <w:rPr>
                <w:rFonts w:hint="eastAsia" w:cs="Times New Roman"/>
                <w:sz w:val="24"/>
                <w:szCs w:val="24"/>
                <w:lang w:eastAsia="zh-CN"/>
              </w:rPr>
              <w:t>负荷度</w:t>
            </w:r>
          </w:p>
        </w:tc>
        <w:tc>
          <w:tcPr>
            <w:tcW w:w="1656" w:type="dxa"/>
            <w:vAlign w:val="center"/>
          </w:tcPr>
          <w:p w14:paraId="464F687A">
            <w:pPr>
              <w:pStyle w:val="186"/>
              <w:widowControl w:val="0"/>
              <w:spacing w:line="240" w:lineRule="auto"/>
              <w:ind w:firstLine="0" w:firstLineChars="0"/>
              <w:jc w:val="center"/>
              <w:rPr>
                <w:rFonts w:hint="eastAsia" w:cs="Times New Roman"/>
                <w:sz w:val="24"/>
                <w:szCs w:val="24"/>
              </w:rPr>
            </w:pPr>
            <w:r>
              <w:rPr>
                <w:rFonts w:hint="eastAsia" w:cs="Times New Roman"/>
                <w:sz w:val="24"/>
                <w:szCs w:val="24"/>
                <w:lang w:eastAsia="zh-CN"/>
              </w:rPr>
              <w:t>服务水平</w:t>
            </w:r>
          </w:p>
        </w:tc>
      </w:tr>
      <w:tr w14:paraId="14FD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16" w:type="dxa"/>
            <w:vMerge w:val="restart"/>
            <w:vAlign w:val="center"/>
          </w:tcPr>
          <w:p w14:paraId="0360781C">
            <w:pPr>
              <w:pStyle w:val="186"/>
              <w:widowControl w:val="0"/>
              <w:spacing w:line="240" w:lineRule="auto"/>
              <w:ind w:firstLine="0" w:firstLineChars="0"/>
              <w:jc w:val="center"/>
              <w:rPr>
                <w:rFonts w:cs="Times New Roman"/>
                <w:sz w:val="24"/>
                <w:szCs w:val="24"/>
                <w:lang w:eastAsia="zh-CN"/>
              </w:rPr>
            </w:pPr>
            <w:r>
              <w:rPr>
                <w:rFonts w:hint="eastAsia" w:cs="Times New Roman"/>
                <w:sz w:val="24"/>
                <w:szCs w:val="24"/>
                <w:lang w:val="en-US" w:eastAsia="zh-CN"/>
              </w:rPr>
              <w:t>永安东路</w:t>
            </w:r>
          </w:p>
        </w:tc>
        <w:tc>
          <w:tcPr>
            <w:tcW w:w="881" w:type="dxa"/>
            <w:vAlign w:val="center"/>
          </w:tcPr>
          <w:p w14:paraId="26EC7EB3">
            <w:pPr>
              <w:pStyle w:val="186"/>
              <w:widowControl w:val="0"/>
              <w:spacing w:line="240" w:lineRule="auto"/>
              <w:ind w:firstLine="0" w:firstLineChars="0"/>
              <w:jc w:val="center"/>
              <w:rPr>
                <w:rFonts w:hint="default" w:cs="Times New Roman"/>
                <w:sz w:val="24"/>
                <w:szCs w:val="24"/>
                <w:lang w:val="en-US" w:eastAsia="zh-CN"/>
              </w:rPr>
            </w:pPr>
            <w:r>
              <w:rPr>
                <w:rFonts w:hint="eastAsia" w:cs="Times New Roman"/>
                <w:sz w:val="24"/>
                <w:szCs w:val="24"/>
              </w:rPr>
              <w:t>20</w:t>
            </w:r>
            <w:r>
              <w:rPr>
                <w:rFonts w:hint="eastAsia" w:cs="Times New Roman"/>
                <w:sz w:val="24"/>
                <w:szCs w:val="24"/>
                <w:lang w:eastAsia="zh-CN"/>
              </w:rPr>
              <w:t>2</w:t>
            </w:r>
            <w:r>
              <w:rPr>
                <w:rFonts w:hint="eastAsia" w:cs="Times New Roman"/>
                <w:sz w:val="24"/>
                <w:szCs w:val="24"/>
                <w:lang w:val="en-US" w:eastAsia="zh-CN"/>
              </w:rPr>
              <w:t>5</w:t>
            </w:r>
          </w:p>
        </w:tc>
        <w:tc>
          <w:tcPr>
            <w:tcW w:w="1416" w:type="dxa"/>
            <w:vMerge w:val="restart"/>
            <w:vAlign w:val="center"/>
          </w:tcPr>
          <w:p w14:paraId="59C5592A">
            <w:pPr>
              <w:pStyle w:val="186"/>
              <w:widowControl w:val="0"/>
              <w:spacing w:line="240" w:lineRule="auto"/>
              <w:ind w:firstLine="0" w:firstLineChars="0"/>
              <w:jc w:val="center"/>
              <w:rPr>
                <w:rFonts w:hint="eastAsia" w:eastAsia="宋体" w:cs="Times New Roman"/>
                <w:sz w:val="24"/>
                <w:szCs w:val="24"/>
                <w:lang w:val="en-US" w:eastAsia="zh-CN"/>
              </w:rPr>
            </w:pPr>
            <w:r>
              <w:rPr>
                <w:rFonts w:hint="eastAsia" w:cs="Times New Roman"/>
                <w:sz w:val="24"/>
                <w:szCs w:val="24"/>
              </w:rPr>
              <w:t>城市</w:t>
            </w:r>
            <w:r>
              <w:rPr>
                <w:rFonts w:hint="eastAsia" w:cs="Times New Roman"/>
                <w:sz w:val="24"/>
                <w:szCs w:val="24"/>
                <w:lang w:val="en-US" w:eastAsia="zh-CN"/>
              </w:rPr>
              <w:t>次干路</w:t>
            </w:r>
          </w:p>
        </w:tc>
        <w:tc>
          <w:tcPr>
            <w:tcW w:w="1416" w:type="dxa"/>
            <w:vAlign w:val="center"/>
          </w:tcPr>
          <w:p w14:paraId="02FA8CAF">
            <w:pPr>
              <w:pStyle w:val="186"/>
              <w:widowControl w:val="0"/>
              <w:spacing w:line="240" w:lineRule="auto"/>
              <w:ind w:firstLine="0" w:firstLineChars="0"/>
              <w:jc w:val="center"/>
              <w:rPr>
                <w:rFonts w:hint="eastAsia" w:eastAsia="宋体" w:cs="Times New Roman"/>
                <w:sz w:val="24"/>
                <w:szCs w:val="24"/>
                <w:lang w:eastAsia="zh-CN"/>
              </w:rPr>
            </w:pPr>
            <w:r>
              <w:rPr>
                <w:rFonts w:hint="eastAsia" w:cs="Times New Roman"/>
                <w:sz w:val="24"/>
                <w:szCs w:val="24"/>
                <w:lang w:val="en-US" w:eastAsia="zh-CN"/>
              </w:rPr>
              <w:t>6</w:t>
            </w:r>
          </w:p>
        </w:tc>
        <w:tc>
          <w:tcPr>
            <w:tcW w:w="1296" w:type="dxa"/>
            <w:vAlign w:val="center"/>
          </w:tcPr>
          <w:p w14:paraId="60F3C2AE">
            <w:pPr>
              <w:pStyle w:val="186"/>
              <w:widowControl w:val="0"/>
              <w:spacing w:line="240" w:lineRule="auto"/>
              <w:ind w:firstLine="0" w:firstLineChars="0"/>
              <w:jc w:val="center"/>
              <w:rPr>
                <w:rFonts w:hint="default" w:cs="Times New Roman"/>
                <w:sz w:val="24"/>
                <w:szCs w:val="24"/>
                <w:lang w:val="en-US"/>
              </w:rPr>
            </w:pPr>
            <w:r>
              <w:rPr>
                <w:rFonts w:hint="eastAsia" w:cs="Times New Roman"/>
                <w:sz w:val="24"/>
                <w:szCs w:val="24"/>
                <w:lang w:eastAsia="zh-CN"/>
              </w:rPr>
              <w:t>0.</w:t>
            </w:r>
            <w:r>
              <w:rPr>
                <w:rFonts w:hint="eastAsia" w:cs="Times New Roman"/>
                <w:sz w:val="24"/>
                <w:szCs w:val="24"/>
                <w:lang w:val="en-US" w:eastAsia="zh-CN"/>
              </w:rPr>
              <w:t>23</w:t>
            </w:r>
          </w:p>
        </w:tc>
        <w:tc>
          <w:tcPr>
            <w:tcW w:w="1656" w:type="dxa"/>
            <w:vAlign w:val="center"/>
          </w:tcPr>
          <w:p w14:paraId="02807465">
            <w:pPr>
              <w:pStyle w:val="186"/>
              <w:widowControl w:val="0"/>
              <w:spacing w:line="240" w:lineRule="auto"/>
              <w:ind w:firstLine="0" w:firstLineChars="0"/>
              <w:jc w:val="center"/>
              <w:rPr>
                <w:rFonts w:hint="eastAsia" w:cs="Times New Roman"/>
                <w:sz w:val="24"/>
                <w:szCs w:val="24"/>
              </w:rPr>
            </w:pPr>
            <w:r>
              <w:rPr>
                <w:rFonts w:hint="eastAsia" w:cs="Times New Roman"/>
                <w:sz w:val="24"/>
                <w:szCs w:val="24"/>
                <w:lang w:eastAsia="zh-CN"/>
              </w:rPr>
              <w:t>一级</w:t>
            </w:r>
          </w:p>
        </w:tc>
      </w:tr>
      <w:tr w14:paraId="0549E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16" w:type="dxa"/>
            <w:vMerge w:val="continue"/>
            <w:vAlign w:val="center"/>
          </w:tcPr>
          <w:p w14:paraId="6CD527EA">
            <w:pPr>
              <w:pStyle w:val="186"/>
              <w:widowControl w:val="0"/>
              <w:spacing w:line="240" w:lineRule="auto"/>
              <w:ind w:firstLine="0" w:firstLineChars="0"/>
              <w:jc w:val="center"/>
              <w:rPr>
                <w:rFonts w:cs="Times New Roman"/>
                <w:sz w:val="24"/>
                <w:szCs w:val="24"/>
              </w:rPr>
            </w:pPr>
          </w:p>
        </w:tc>
        <w:tc>
          <w:tcPr>
            <w:tcW w:w="881" w:type="dxa"/>
            <w:vAlign w:val="center"/>
          </w:tcPr>
          <w:p w14:paraId="48693E62">
            <w:pPr>
              <w:pStyle w:val="186"/>
              <w:widowControl w:val="0"/>
              <w:spacing w:line="240" w:lineRule="auto"/>
              <w:ind w:firstLine="0" w:firstLineChars="0"/>
              <w:jc w:val="center"/>
              <w:rPr>
                <w:rFonts w:hint="eastAsia" w:eastAsia="宋体" w:cs="Times New Roman"/>
                <w:sz w:val="24"/>
                <w:szCs w:val="24"/>
                <w:lang w:val="en-US" w:eastAsia="zh-CN"/>
              </w:rPr>
            </w:pPr>
            <w:r>
              <w:rPr>
                <w:rFonts w:hint="eastAsia" w:cs="Times New Roman"/>
                <w:sz w:val="24"/>
                <w:szCs w:val="24"/>
              </w:rPr>
              <w:t>202</w:t>
            </w:r>
            <w:r>
              <w:rPr>
                <w:rFonts w:hint="eastAsia" w:cs="Times New Roman"/>
                <w:sz w:val="24"/>
                <w:szCs w:val="24"/>
                <w:lang w:val="en-US" w:eastAsia="zh-CN"/>
              </w:rPr>
              <w:t>9</w:t>
            </w:r>
          </w:p>
        </w:tc>
        <w:tc>
          <w:tcPr>
            <w:tcW w:w="1416" w:type="dxa"/>
            <w:vMerge w:val="continue"/>
            <w:vAlign w:val="center"/>
          </w:tcPr>
          <w:p w14:paraId="088B118B">
            <w:pPr>
              <w:pStyle w:val="186"/>
              <w:widowControl w:val="0"/>
              <w:spacing w:line="240" w:lineRule="auto"/>
              <w:ind w:firstLine="0" w:firstLineChars="0"/>
              <w:jc w:val="center"/>
              <w:rPr>
                <w:rFonts w:cs="Times New Roman"/>
                <w:sz w:val="24"/>
                <w:szCs w:val="24"/>
              </w:rPr>
            </w:pPr>
          </w:p>
        </w:tc>
        <w:tc>
          <w:tcPr>
            <w:tcW w:w="1416" w:type="dxa"/>
            <w:vAlign w:val="center"/>
          </w:tcPr>
          <w:p w14:paraId="5A2CB01A">
            <w:pPr>
              <w:pStyle w:val="186"/>
              <w:widowControl w:val="0"/>
              <w:spacing w:line="240" w:lineRule="auto"/>
              <w:ind w:firstLine="0" w:firstLineChars="0"/>
              <w:jc w:val="center"/>
              <w:rPr>
                <w:rFonts w:hint="eastAsia" w:eastAsia="宋体" w:cs="Times New Roman"/>
                <w:sz w:val="24"/>
                <w:szCs w:val="24"/>
                <w:lang w:eastAsia="zh-CN"/>
              </w:rPr>
            </w:pPr>
            <w:r>
              <w:rPr>
                <w:rFonts w:hint="eastAsia" w:cs="Times New Roman"/>
                <w:sz w:val="24"/>
                <w:szCs w:val="24"/>
                <w:lang w:val="en-US" w:eastAsia="zh-CN"/>
              </w:rPr>
              <w:t>6</w:t>
            </w:r>
          </w:p>
        </w:tc>
        <w:tc>
          <w:tcPr>
            <w:tcW w:w="1296" w:type="dxa"/>
            <w:vAlign w:val="center"/>
          </w:tcPr>
          <w:p w14:paraId="7F6CAE88">
            <w:pPr>
              <w:pStyle w:val="186"/>
              <w:widowControl w:val="0"/>
              <w:spacing w:line="240" w:lineRule="auto"/>
              <w:ind w:firstLine="0" w:firstLineChars="0"/>
              <w:jc w:val="center"/>
              <w:rPr>
                <w:rFonts w:hint="default" w:cs="Times New Roman"/>
                <w:sz w:val="24"/>
                <w:szCs w:val="24"/>
                <w:lang w:val="en-US"/>
              </w:rPr>
            </w:pPr>
            <w:r>
              <w:rPr>
                <w:rFonts w:hint="eastAsia" w:cs="Times New Roman"/>
                <w:sz w:val="24"/>
                <w:szCs w:val="24"/>
                <w:lang w:eastAsia="zh-CN"/>
              </w:rPr>
              <w:t>0.</w:t>
            </w:r>
            <w:r>
              <w:rPr>
                <w:rFonts w:hint="eastAsia" w:cs="Times New Roman"/>
                <w:sz w:val="24"/>
                <w:szCs w:val="24"/>
                <w:lang w:val="en-US" w:eastAsia="zh-CN"/>
              </w:rPr>
              <w:t>36</w:t>
            </w:r>
          </w:p>
        </w:tc>
        <w:tc>
          <w:tcPr>
            <w:tcW w:w="1656" w:type="dxa"/>
            <w:vAlign w:val="center"/>
          </w:tcPr>
          <w:p w14:paraId="0770967D">
            <w:pPr>
              <w:pStyle w:val="186"/>
              <w:widowControl w:val="0"/>
              <w:spacing w:line="240" w:lineRule="auto"/>
              <w:ind w:firstLine="0" w:firstLineChars="0"/>
              <w:jc w:val="center"/>
              <w:rPr>
                <w:rFonts w:hint="eastAsia" w:cs="Times New Roman"/>
                <w:sz w:val="24"/>
                <w:szCs w:val="24"/>
              </w:rPr>
            </w:pPr>
            <w:r>
              <w:rPr>
                <w:rFonts w:hint="eastAsia" w:cs="Times New Roman"/>
                <w:sz w:val="24"/>
                <w:szCs w:val="24"/>
                <w:lang w:val="en-US" w:eastAsia="zh-CN"/>
              </w:rPr>
              <w:t>二</w:t>
            </w:r>
            <w:r>
              <w:rPr>
                <w:rFonts w:hint="eastAsia" w:cs="Times New Roman"/>
                <w:sz w:val="24"/>
                <w:szCs w:val="24"/>
                <w:lang w:eastAsia="zh-CN"/>
              </w:rPr>
              <w:t>级</w:t>
            </w:r>
          </w:p>
        </w:tc>
      </w:tr>
      <w:tr w14:paraId="2A824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16" w:type="dxa"/>
            <w:vMerge w:val="continue"/>
            <w:vAlign w:val="center"/>
          </w:tcPr>
          <w:p w14:paraId="006D8E01">
            <w:pPr>
              <w:pStyle w:val="186"/>
              <w:widowControl w:val="0"/>
              <w:spacing w:line="240" w:lineRule="auto"/>
              <w:ind w:firstLine="0" w:firstLineChars="0"/>
              <w:jc w:val="center"/>
              <w:rPr>
                <w:rFonts w:cs="Times New Roman"/>
                <w:sz w:val="24"/>
                <w:szCs w:val="24"/>
              </w:rPr>
            </w:pPr>
          </w:p>
        </w:tc>
        <w:tc>
          <w:tcPr>
            <w:tcW w:w="881" w:type="dxa"/>
            <w:vAlign w:val="center"/>
          </w:tcPr>
          <w:p w14:paraId="55403DB2">
            <w:pPr>
              <w:pStyle w:val="186"/>
              <w:widowControl w:val="0"/>
              <w:spacing w:line="240" w:lineRule="auto"/>
              <w:ind w:firstLine="0" w:firstLineChars="0"/>
              <w:jc w:val="center"/>
              <w:rPr>
                <w:rFonts w:hint="default" w:eastAsia="宋体" w:cs="Times New Roman"/>
                <w:sz w:val="24"/>
                <w:szCs w:val="24"/>
                <w:lang w:val="en-US" w:eastAsia="zh-CN"/>
              </w:rPr>
            </w:pPr>
            <w:r>
              <w:rPr>
                <w:rFonts w:hint="eastAsia" w:cs="Times New Roman"/>
                <w:sz w:val="24"/>
                <w:szCs w:val="24"/>
                <w:lang w:val="en-US" w:eastAsia="zh-CN"/>
              </w:rPr>
              <w:t>2034</w:t>
            </w:r>
          </w:p>
        </w:tc>
        <w:tc>
          <w:tcPr>
            <w:tcW w:w="1416" w:type="dxa"/>
            <w:vMerge w:val="continue"/>
            <w:vAlign w:val="center"/>
          </w:tcPr>
          <w:p w14:paraId="4E69D578">
            <w:pPr>
              <w:pStyle w:val="186"/>
              <w:widowControl w:val="0"/>
              <w:spacing w:line="240" w:lineRule="auto"/>
              <w:ind w:firstLine="0" w:firstLineChars="0"/>
              <w:jc w:val="center"/>
              <w:rPr>
                <w:rFonts w:cs="Times New Roman"/>
                <w:sz w:val="24"/>
                <w:szCs w:val="24"/>
              </w:rPr>
            </w:pPr>
          </w:p>
        </w:tc>
        <w:tc>
          <w:tcPr>
            <w:tcW w:w="1416" w:type="dxa"/>
            <w:vAlign w:val="center"/>
          </w:tcPr>
          <w:p w14:paraId="2A058625">
            <w:pPr>
              <w:pStyle w:val="186"/>
              <w:widowControl w:val="0"/>
              <w:spacing w:line="240" w:lineRule="auto"/>
              <w:ind w:firstLine="0" w:firstLineChars="0"/>
              <w:jc w:val="center"/>
              <w:rPr>
                <w:rFonts w:hint="eastAsia" w:eastAsia="宋体" w:cs="Times New Roman"/>
                <w:sz w:val="24"/>
                <w:szCs w:val="24"/>
                <w:lang w:val="en-US" w:eastAsia="zh-CN"/>
              </w:rPr>
            </w:pPr>
            <w:r>
              <w:rPr>
                <w:rFonts w:hint="eastAsia" w:cs="Times New Roman"/>
                <w:sz w:val="24"/>
                <w:szCs w:val="24"/>
                <w:lang w:val="en-US" w:eastAsia="zh-CN"/>
              </w:rPr>
              <w:t>6</w:t>
            </w:r>
          </w:p>
        </w:tc>
        <w:tc>
          <w:tcPr>
            <w:tcW w:w="1296" w:type="dxa"/>
            <w:vAlign w:val="center"/>
          </w:tcPr>
          <w:p w14:paraId="25C176C7">
            <w:pPr>
              <w:pStyle w:val="186"/>
              <w:widowControl w:val="0"/>
              <w:spacing w:line="240" w:lineRule="auto"/>
              <w:ind w:firstLine="0" w:firstLineChars="0"/>
              <w:jc w:val="center"/>
              <w:rPr>
                <w:rFonts w:hint="default" w:cs="Times New Roman"/>
                <w:sz w:val="24"/>
                <w:szCs w:val="24"/>
                <w:lang w:val="en-US" w:eastAsia="zh-CN"/>
              </w:rPr>
            </w:pPr>
            <w:r>
              <w:rPr>
                <w:rFonts w:hint="eastAsia" w:cs="Times New Roman"/>
                <w:sz w:val="24"/>
                <w:szCs w:val="24"/>
                <w:lang w:val="en-US" w:eastAsia="zh-CN"/>
              </w:rPr>
              <w:t>0.49</w:t>
            </w:r>
          </w:p>
        </w:tc>
        <w:tc>
          <w:tcPr>
            <w:tcW w:w="1656" w:type="dxa"/>
            <w:vAlign w:val="center"/>
          </w:tcPr>
          <w:p w14:paraId="4C11F3A0">
            <w:pPr>
              <w:pStyle w:val="186"/>
              <w:widowControl w:val="0"/>
              <w:spacing w:line="240" w:lineRule="auto"/>
              <w:ind w:firstLine="0" w:firstLineChars="0"/>
              <w:jc w:val="center"/>
              <w:rPr>
                <w:rFonts w:hint="default" w:cs="Times New Roman"/>
                <w:sz w:val="24"/>
                <w:szCs w:val="24"/>
                <w:lang w:val="en-US" w:eastAsia="zh-CN"/>
              </w:rPr>
            </w:pPr>
            <w:r>
              <w:rPr>
                <w:rFonts w:hint="eastAsia" w:cs="Times New Roman"/>
                <w:sz w:val="24"/>
                <w:szCs w:val="24"/>
                <w:lang w:val="en-US" w:eastAsia="zh-CN"/>
              </w:rPr>
              <w:t>二级</w:t>
            </w:r>
          </w:p>
        </w:tc>
      </w:tr>
      <w:tr w14:paraId="2A5A0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16" w:type="dxa"/>
            <w:vMerge w:val="continue"/>
            <w:vAlign w:val="center"/>
          </w:tcPr>
          <w:p w14:paraId="6A5204FF">
            <w:pPr>
              <w:pStyle w:val="186"/>
              <w:widowControl w:val="0"/>
              <w:spacing w:line="240" w:lineRule="auto"/>
              <w:ind w:firstLine="0" w:firstLineChars="0"/>
              <w:jc w:val="center"/>
              <w:rPr>
                <w:rFonts w:cs="Times New Roman"/>
                <w:sz w:val="24"/>
                <w:szCs w:val="24"/>
              </w:rPr>
            </w:pPr>
          </w:p>
        </w:tc>
        <w:tc>
          <w:tcPr>
            <w:tcW w:w="881" w:type="dxa"/>
            <w:vAlign w:val="center"/>
          </w:tcPr>
          <w:p w14:paraId="05ED5E9C">
            <w:pPr>
              <w:pStyle w:val="186"/>
              <w:widowControl w:val="0"/>
              <w:spacing w:line="240" w:lineRule="auto"/>
              <w:ind w:firstLine="0" w:firstLineChars="0"/>
              <w:jc w:val="center"/>
              <w:rPr>
                <w:rFonts w:hint="eastAsia" w:eastAsia="宋体" w:cs="Times New Roman"/>
                <w:sz w:val="24"/>
                <w:szCs w:val="24"/>
                <w:lang w:val="en-US" w:eastAsia="zh-CN"/>
              </w:rPr>
            </w:pPr>
            <w:r>
              <w:rPr>
                <w:rFonts w:hint="eastAsia" w:cs="Times New Roman"/>
                <w:sz w:val="24"/>
                <w:szCs w:val="24"/>
              </w:rPr>
              <w:t>203</w:t>
            </w:r>
            <w:r>
              <w:rPr>
                <w:rFonts w:hint="eastAsia" w:cs="Times New Roman"/>
                <w:sz w:val="24"/>
                <w:szCs w:val="24"/>
                <w:lang w:val="en-US" w:eastAsia="zh-CN"/>
              </w:rPr>
              <w:t>9</w:t>
            </w:r>
          </w:p>
        </w:tc>
        <w:tc>
          <w:tcPr>
            <w:tcW w:w="1416" w:type="dxa"/>
            <w:vMerge w:val="continue"/>
            <w:vAlign w:val="center"/>
          </w:tcPr>
          <w:p w14:paraId="7E533A85">
            <w:pPr>
              <w:pStyle w:val="186"/>
              <w:widowControl w:val="0"/>
              <w:spacing w:line="240" w:lineRule="auto"/>
              <w:ind w:firstLine="0" w:firstLineChars="0"/>
              <w:jc w:val="center"/>
              <w:rPr>
                <w:rFonts w:cs="Times New Roman"/>
                <w:sz w:val="24"/>
                <w:szCs w:val="24"/>
              </w:rPr>
            </w:pPr>
          </w:p>
        </w:tc>
        <w:tc>
          <w:tcPr>
            <w:tcW w:w="1416" w:type="dxa"/>
            <w:vAlign w:val="center"/>
          </w:tcPr>
          <w:p w14:paraId="59F90053">
            <w:pPr>
              <w:pStyle w:val="186"/>
              <w:widowControl w:val="0"/>
              <w:spacing w:line="240" w:lineRule="auto"/>
              <w:ind w:firstLine="0" w:firstLineChars="0"/>
              <w:jc w:val="center"/>
              <w:rPr>
                <w:rFonts w:hint="eastAsia" w:eastAsia="宋体" w:cs="Times New Roman"/>
                <w:sz w:val="24"/>
                <w:szCs w:val="24"/>
                <w:lang w:eastAsia="zh-CN"/>
              </w:rPr>
            </w:pPr>
            <w:r>
              <w:rPr>
                <w:rFonts w:hint="eastAsia" w:cs="Times New Roman"/>
                <w:sz w:val="24"/>
                <w:szCs w:val="24"/>
                <w:lang w:val="en-US" w:eastAsia="zh-CN"/>
              </w:rPr>
              <w:t>6</w:t>
            </w:r>
          </w:p>
        </w:tc>
        <w:tc>
          <w:tcPr>
            <w:tcW w:w="1296" w:type="dxa"/>
            <w:vAlign w:val="center"/>
          </w:tcPr>
          <w:p w14:paraId="408E626B">
            <w:pPr>
              <w:pStyle w:val="186"/>
              <w:widowControl w:val="0"/>
              <w:spacing w:line="240" w:lineRule="auto"/>
              <w:ind w:firstLine="0" w:firstLineChars="0"/>
              <w:jc w:val="center"/>
              <w:rPr>
                <w:rFonts w:hint="default" w:cs="Times New Roman"/>
                <w:sz w:val="24"/>
                <w:szCs w:val="24"/>
                <w:lang w:val="en-US"/>
              </w:rPr>
            </w:pPr>
            <w:r>
              <w:rPr>
                <w:rFonts w:hint="eastAsia" w:cs="Times New Roman"/>
                <w:sz w:val="24"/>
                <w:szCs w:val="24"/>
                <w:lang w:eastAsia="zh-CN"/>
              </w:rPr>
              <w:t>0.6</w:t>
            </w:r>
            <w:r>
              <w:rPr>
                <w:rFonts w:hint="eastAsia" w:cs="Times New Roman"/>
                <w:sz w:val="24"/>
                <w:szCs w:val="24"/>
                <w:lang w:val="en-US" w:eastAsia="zh-CN"/>
              </w:rPr>
              <w:t>8</w:t>
            </w:r>
          </w:p>
        </w:tc>
        <w:tc>
          <w:tcPr>
            <w:tcW w:w="1656" w:type="dxa"/>
            <w:vAlign w:val="center"/>
          </w:tcPr>
          <w:p w14:paraId="31627CC9">
            <w:pPr>
              <w:pStyle w:val="186"/>
              <w:widowControl w:val="0"/>
              <w:spacing w:line="240" w:lineRule="auto"/>
              <w:ind w:firstLine="0" w:firstLineChars="0"/>
              <w:jc w:val="center"/>
              <w:rPr>
                <w:rFonts w:hint="eastAsia" w:cs="Times New Roman"/>
                <w:sz w:val="24"/>
                <w:szCs w:val="24"/>
              </w:rPr>
            </w:pPr>
            <w:r>
              <w:rPr>
                <w:rFonts w:hint="eastAsia" w:cs="Times New Roman"/>
                <w:sz w:val="24"/>
                <w:szCs w:val="24"/>
                <w:lang w:val="en-US" w:eastAsia="zh-CN"/>
              </w:rPr>
              <w:t>三</w:t>
            </w:r>
            <w:r>
              <w:rPr>
                <w:rFonts w:hint="eastAsia" w:cs="Times New Roman"/>
                <w:sz w:val="24"/>
                <w:szCs w:val="24"/>
                <w:lang w:eastAsia="zh-CN"/>
              </w:rPr>
              <w:t>级</w:t>
            </w:r>
          </w:p>
        </w:tc>
      </w:tr>
    </w:tbl>
    <w:p w14:paraId="0E84EC63">
      <w:pPr>
        <w:pStyle w:val="187"/>
        <w:ind w:firstLine="480"/>
        <w:rPr>
          <w:rFonts w:ascii="Times New Roman" w:hAnsi="Times New Roman" w:cs="Times New Roman"/>
          <w:kern w:val="0"/>
          <w:szCs w:val="24"/>
          <w:lang w:eastAsia="zh-CN" w:bidi="ar-SA"/>
        </w:rPr>
      </w:pPr>
      <w:r>
        <w:rPr>
          <w:rFonts w:hint="eastAsia" w:ascii="Times New Roman" w:hAnsi="Times New Roman" w:cs="Times New Roman"/>
          <w:kern w:val="0"/>
          <w:szCs w:val="24"/>
          <w:lang w:eastAsia="zh-CN" w:bidi="ar-SA"/>
        </w:rPr>
        <w:t>经分析，本项目各道路近期服务水平均为一级，远期为</w:t>
      </w:r>
      <w:r>
        <w:rPr>
          <w:rFonts w:hint="eastAsia" w:ascii="Times New Roman" w:hAnsi="Times New Roman" w:cs="Times New Roman"/>
          <w:kern w:val="0"/>
          <w:szCs w:val="24"/>
          <w:lang w:val="en-US" w:eastAsia="zh-CN" w:bidi="ar-SA"/>
        </w:rPr>
        <w:t>三</w:t>
      </w:r>
      <w:r>
        <w:rPr>
          <w:rFonts w:hint="eastAsia" w:ascii="Times New Roman" w:hAnsi="Times New Roman" w:cs="Times New Roman"/>
          <w:kern w:val="0"/>
          <w:szCs w:val="24"/>
          <w:lang w:eastAsia="zh-CN" w:bidi="ar-SA"/>
        </w:rPr>
        <w:t>级，服务水平</w:t>
      </w:r>
      <w:r>
        <w:rPr>
          <w:rFonts w:hint="eastAsia" w:ascii="Times New Roman" w:hAnsi="Times New Roman" w:cs="Times New Roman"/>
          <w:kern w:val="0"/>
          <w:szCs w:val="24"/>
          <w:lang w:val="en-US" w:eastAsia="zh-CN" w:bidi="ar-SA"/>
        </w:rPr>
        <w:t>较</w:t>
      </w:r>
      <w:r>
        <w:rPr>
          <w:rFonts w:hint="eastAsia" w:ascii="Times New Roman" w:hAnsi="Times New Roman" w:cs="Times New Roman"/>
          <w:kern w:val="0"/>
          <w:szCs w:val="24"/>
          <w:lang w:eastAsia="zh-CN" w:bidi="ar-SA"/>
        </w:rPr>
        <w:t>好。</w:t>
      </w:r>
    </w:p>
    <w:p w14:paraId="132612B6">
      <w:pPr>
        <w:ind w:firstLine="480"/>
      </w:pPr>
      <w:r>
        <w:rPr>
          <w:rFonts w:hint="eastAsia"/>
        </w:rPr>
        <w:t>根据上述交通量数据推算，永安东路路面在设计年限内一个车道设计年限内一个车道上的累计当量轴次：</w:t>
      </w:r>
      <w:r>
        <w:rPr>
          <w:color w:val="FF0000"/>
        </w:rPr>
        <w:t>1.</w:t>
      </w:r>
      <w:r>
        <w:rPr>
          <w:rFonts w:hint="eastAsia"/>
          <w:color w:val="FF0000"/>
          <w:lang w:val="en-US" w:eastAsia="zh-CN"/>
        </w:rPr>
        <w:t>3</w:t>
      </w:r>
      <w:r>
        <w:rPr>
          <w:rFonts w:hint="eastAsia"/>
          <w:color w:val="FF0000"/>
        </w:rPr>
        <w:t>×10</w:t>
      </w:r>
      <w:r>
        <w:rPr>
          <w:color w:val="FF0000"/>
          <w:vertAlign w:val="superscript"/>
        </w:rPr>
        <w:t>7</w:t>
      </w:r>
      <w:r>
        <w:rPr>
          <w:rFonts w:hint="eastAsia"/>
          <w:color w:val="FF0000"/>
        </w:rPr>
        <w:t>（次/车道）</w:t>
      </w:r>
      <w:r>
        <w:rPr>
          <w:rFonts w:hint="eastAsia"/>
        </w:rPr>
        <w:t>，道路属重交通等级。</w:t>
      </w:r>
    </w:p>
    <w:p w14:paraId="753F9A64">
      <w:pPr>
        <w:pStyle w:val="4"/>
        <w:spacing w:before="163" w:after="163"/>
        <w:ind w:firstLine="602"/>
      </w:pPr>
      <w:bookmarkStart w:id="64" w:name="_Toc43285939"/>
      <w:bookmarkStart w:id="65" w:name="_Toc71703553"/>
      <w:bookmarkStart w:id="66" w:name="_Toc26599"/>
      <w:bookmarkStart w:id="67" w:name="_Toc76668293"/>
      <w:r>
        <w:rPr>
          <w:rFonts w:hint="eastAsia"/>
        </w:rPr>
        <w:t>项目建设的意义</w:t>
      </w:r>
      <w:bookmarkEnd w:id="64"/>
      <w:bookmarkEnd w:id="65"/>
      <w:bookmarkEnd w:id="66"/>
      <w:bookmarkEnd w:id="67"/>
    </w:p>
    <w:p w14:paraId="2412D415">
      <w:pPr>
        <w:adjustRightInd w:val="0"/>
        <w:snapToGrid w:val="0"/>
        <w:ind w:firstLine="480"/>
        <w:rPr>
          <w:rFonts w:ascii="宋体" w:hAnsi="宋体"/>
          <w:bCs/>
        </w:rPr>
      </w:pPr>
      <w:r>
        <w:rPr>
          <w:rFonts w:hint="eastAsia" w:ascii="宋体" w:hAnsi="宋体"/>
          <w:bCs/>
        </w:rPr>
        <w:t>项目建设有助于缓解空港经济区起步区村民安置问题，有助于推进空港经济区起步区开发建设，是保障重大产业项目落地及起步区总体开发建设的需要，项目建设将进一步</w:t>
      </w:r>
      <w:r>
        <w:rPr>
          <w:rFonts w:hint="eastAsia"/>
        </w:rPr>
        <w:t>优化片区空间结构和完善提升周边路网的通行能力，方便安置区内人们的出行和提高城市服务水平，</w:t>
      </w:r>
      <w:r>
        <w:rPr>
          <w:rFonts w:hint="eastAsia" w:ascii="宋体" w:hAnsi="宋体"/>
          <w:bCs/>
        </w:rPr>
        <w:t>确保广州空港经济区的长期稳定发展。</w:t>
      </w:r>
    </w:p>
    <w:p w14:paraId="6D3D1E77">
      <w:pPr>
        <w:ind w:firstLine="480"/>
        <w:sectPr>
          <w:pgSz w:w="23811" w:h="16838" w:orient="landscape"/>
          <w:pgMar w:top="1418" w:right="1440" w:bottom="1134" w:left="1440" w:header="680" w:footer="737" w:gutter="0"/>
          <w:pgNumType w:fmt="decimal"/>
          <w:cols w:space="1201" w:num="2"/>
          <w:docGrid w:type="lines" w:linePitch="326" w:charSpace="0"/>
        </w:sectPr>
      </w:pPr>
    </w:p>
    <w:p w14:paraId="3331F9FE">
      <w:pPr>
        <w:pStyle w:val="3"/>
        <w:spacing w:before="163" w:after="163"/>
      </w:pPr>
      <w:bookmarkStart w:id="68" w:name="_Toc17357"/>
      <w:bookmarkStart w:id="69" w:name="_Toc68620610"/>
      <w:bookmarkStart w:id="70" w:name="_Toc71703554"/>
      <w:r>
        <w:rPr>
          <w:rFonts w:hint="eastAsia"/>
        </w:rPr>
        <w:t>建设条件</w:t>
      </w:r>
      <w:bookmarkEnd w:id="68"/>
      <w:bookmarkEnd w:id="69"/>
      <w:bookmarkEnd w:id="70"/>
    </w:p>
    <w:p w14:paraId="1F506077">
      <w:pPr>
        <w:pStyle w:val="4"/>
        <w:spacing w:before="163" w:after="163"/>
        <w:ind w:firstLine="602"/>
      </w:pPr>
      <w:bookmarkStart w:id="71" w:name="_Toc68620611"/>
      <w:bookmarkStart w:id="72" w:name="_Toc71703555"/>
      <w:bookmarkStart w:id="73" w:name="_Toc14093"/>
      <w:r>
        <w:rPr>
          <w:rFonts w:hint="eastAsia"/>
        </w:rPr>
        <w:t>沿线自然地理概况</w:t>
      </w:r>
      <w:bookmarkEnd w:id="71"/>
      <w:bookmarkEnd w:id="72"/>
      <w:bookmarkEnd w:id="73"/>
    </w:p>
    <w:p w14:paraId="69917661">
      <w:pPr>
        <w:pStyle w:val="5"/>
        <w:spacing w:before="163" w:after="163"/>
        <w:ind w:firstLine="560"/>
      </w:pPr>
      <w:bookmarkStart w:id="74" w:name="_Toc71703556"/>
      <w:bookmarkStart w:id="75" w:name="_Toc6887"/>
      <w:bookmarkStart w:id="76" w:name="_Toc68620612"/>
      <w:r>
        <w:rPr>
          <w:rFonts w:hint="eastAsia"/>
        </w:rPr>
        <w:t>气象、水文状况</w:t>
      </w:r>
      <w:bookmarkEnd w:id="74"/>
      <w:bookmarkEnd w:id="75"/>
      <w:bookmarkEnd w:id="76"/>
    </w:p>
    <w:p w14:paraId="0C7751D4">
      <w:pPr>
        <w:pStyle w:val="6"/>
        <w:ind w:firstLine="482"/>
      </w:pPr>
      <w:r>
        <w:rPr>
          <w:rFonts w:hint="eastAsia"/>
        </w:rPr>
        <w:t>气象</w:t>
      </w:r>
    </w:p>
    <w:p w14:paraId="279D4CE6">
      <w:pPr>
        <w:ind w:firstLine="480"/>
        <w:rPr>
          <w:rFonts w:ascii="宋体" w:hAnsi="宋体"/>
          <w:bCs/>
        </w:rPr>
      </w:pPr>
      <w:r>
        <w:rPr>
          <w:rFonts w:hint="eastAsia" w:ascii="宋体" w:hAnsi="宋体"/>
          <w:bCs/>
        </w:rPr>
        <w:t>广州地区地处南亚热带，属海洋季风性气候。全年降水丰沛，雨季明显，日照充足。夏季炎热，冬季一般比较温暖。年平均气温21.80C，极端最高气温38.70C（1953年8 月）。在季风环流控制下，旱季(9 月至翌年3 月)受大陆冷高压影响，吹偏北风，天气干燥，降水较少；雨季(4 月至8 月)受海洋气流的影响，吹偏南风，天气炎热，降水量大。每年5～10 月是广州热带气旋活动的季节，7～9 月，热带气旋影响和袭击广州的可能性较大，是盛行季节。广州地区降水量大于蒸发量，大气降水是地下水的主要补给来源，年均降雨量为1694 毫米；降雨量在年内分配很不均匀，多集中在汛期（每年4～9 月份），汛期雨量约占全年总降雨量的70～90%，最大月雨量大部分发生在5、6 月间。汛期是地下水补给期，10 月～次年3 月为地下水消耗期和排泄期，地层条件是地下水赋存的条件和基础。该场址位于花都区，花都位处南亚热带季风气候区，常年气候总特点是：气温高，降水多，夏长冬短，无霜期长。温度、湿度、降水、风向、风速等均有明显的季节性变化。</w:t>
      </w:r>
    </w:p>
    <w:p w14:paraId="589BD258">
      <w:pPr>
        <w:ind w:firstLine="480"/>
        <w:rPr>
          <w:rFonts w:ascii="宋体" w:hAnsi="宋体"/>
          <w:bCs/>
        </w:rPr>
      </w:pPr>
      <w:r>
        <w:rPr>
          <w:rFonts w:hint="eastAsia" w:ascii="宋体" w:hAnsi="宋体"/>
          <w:bCs/>
        </w:rPr>
        <w:t>花都夏季长约五个半月，冬季约一个半月，春秋两季约五个月。冬季时间短暂，偶有低温，但持续时间短，回暖较快。夏季虽热，但少酷暑，春秋两季气候温和。夏季盛吹偏南风，冬季盛吹偏北风，年主导风向为北偏东，风力多为1～2 级。</w:t>
      </w:r>
    </w:p>
    <w:p w14:paraId="6CE15C0C">
      <w:pPr>
        <w:ind w:firstLine="480"/>
        <w:rPr>
          <w:rFonts w:ascii="宋体" w:hAnsi="宋体"/>
          <w:bCs/>
        </w:rPr>
      </w:pPr>
      <w:r>
        <w:rPr>
          <w:rFonts w:hint="eastAsia" w:ascii="宋体" w:hAnsi="宋体"/>
          <w:bCs/>
        </w:rPr>
        <w:t>（1）雨量</w:t>
      </w:r>
    </w:p>
    <w:p w14:paraId="2251AD60">
      <w:pPr>
        <w:ind w:firstLine="480"/>
        <w:rPr>
          <w:rFonts w:ascii="宋体" w:hAnsi="宋体"/>
          <w:bCs/>
        </w:rPr>
      </w:pPr>
      <w:r>
        <w:rPr>
          <w:rFonts w:hint="eastAsia" w:ascii="宋体" w:hAnsi="宋体"/>
          <w:bCs/>
        </w:rPr>
        <w:t>该场址所在区域年平均降雨量是1725 毫米，降雨最大年2516.7 毫米（1975 年），最小年1243 毫米（1984 年）。降雨多集中于4~9 月，占全年的81%，尤其以5~6月雨量最大，占全年的32.8%，降雨量最小是12 月，占全年降雨量的1.4%。年平均降雨日为151 天，日最大降雨量284 毫米。每年10 月至次年3 月为旱季，年蒸发量平均为1603.5 毫米，平均相对湿度79%。</w:t>
      </w:r>
    </w:p>
    <w:p w14:paraId="32750CF3">
      <w:pPr>
        <w:ind w:firstLine="480"/>
        <w:rPr>
          <w:rFonts w:ascii="宋体" w:hAnsi="宋体"/>
          <w:bCs/>
        </w:rPr>
      </w:pPr>
      <w:r>
        <w:rPr>
          <w:rFonts w:hint="eastAsia" w:ascii="宋体" w:hAnsi="宋体"/>
          <w:bCs/>
        </w:rPr>
        <w:t>（2）气温</w:t>
      </w:r>
    </w:p>
    <w:p w14:paraId="4F7E8E48">
      <w:pPr>
        <w:ind w:firstLine="480"/>
        <w:rPr>
          <w:rFonts w:ascii="宋体" w:hAnsi="宋体"/>
          <w:bCs/>
        </w:rPr>
      </w:pPr>
      <w:r>
        <w:rPr>
          <w:rFonts w:hint="eastAsia" w:ascii="宋体" w:hAnsi="宋体"/>
          <w:bCs/>
        </w:rPr>
        <w:t>该场址所在区域年平均气温为21.8℃，7 月份最高温平均为28.4℃，1 月份最低温平均为13.3℃。日极端高温为38.1℃（1980 年），极端低温为0.1℃（1975 年），平均年积温7957℃，无霜期达340 多天。</w:t>
      </w:r>
    </w:p>
    <w:p w14:paraId="45254F5A">
      <w:pPr>
        <w:ind w:firstLine="480"/>
        <w:rPr>
          <w:rFonts w:ascii="宋体" w:hAnsi="宋体"/>
          <w:bCs/>
        </w:rPr>
      </w:pPr>
      <w:r>
        <w:rPr>
          <w:rFonts w:hint="eastAsia" w:ascii="宋体" w:hAnsi="宋体"/>
          <w:bCs/>
        </w:rPr>
        <w:t>（3）日照</w:t>
      </w:r>
    </w:p>
    <w:p w14:paraId="4361F873">
      <w:pPr>
        <w:ind w:firstLine="480"/>
        <w:rPr>
          <w:rFonts w:ascii="宋体" w:hAnsi="宋体"/>
          <w:bCs/>
        </w:rPr>
      </w:pPr>
      <w:r>
        <w:rPr>
          <w:rFonts w:hint="eastAsia" w:ascii="宋体" w:hAnsi="宋体"/>
          <w:bCs/>
        </w:rPr>
        <w:t>该场址所在区域年平均日照为1960 小时，日照率为44%。2~4 月份日照时数较短，阴天平均每月达17.3 天。其中，3 月份阴天最多，平均年份可达20 天，个别年份达22 天之多。7~10 月份日照时数最多，阴天平均每月不足5 天，个别年份没有出现阴天，其中10 月份晴天最多。年平均总幅射量106.7 千卡/平方厘米；7 月份最大，平均达11.8 千卡/平方厘米；2 月份最小，平均为5.9 千卡/平方厘米。</w:t>
      </w:r>
    </w:p>
    <w:p w14:paraId="20853BEE">
      <w:pPr>
        <w:ind w:firstLine="480"/>
        <w:rPr>
          <w:rFonts w:ascii="宋体" w:hAnsi="宋体"/>
          <w:bCs/>
        </w:rPr>
      </w:pPr>
      <w:r>
        <w:rPr>
          <w:rFonts w:hint="eastAsia" w:ascii="宋体" w:hAnsi="宋体"/>
          <w:bCs/>
        </w:rPr>
        <w:t>（4）风力、风向</w:t>
      </w:r>
    </w:p>
    <w:p w14:paraId="3258DF5F">
      <w:pPr>
        <w:ind w:firstLine="480"/>
        <w:rPr>
          <w:rFonts w:ascii="宋体" w:hAnsi="宋体"/>
          <w:bCs/>
        </w:rPr>
      </w:pPr>
      <w:r>
        <w:rPr>
          <w:rFonts w:hint="eastAsia" w:ascii="宋体" w:hAnsi="宋体"/>
          <w:bCs/>
        </w:rPr>
        <w:t>花都区年最多风向为北风，其频率为 20%。风向的季节变化较大，9～4 月是北风盛行期，5～8 月则盛行偏南风或东风。年平均风速 2.4m/s，冬季平均风速大，夏季平均风速小，但年内大风日又主要出现在夏季。虽然花都区不属沿海地区，但由于有台风的影响，也可出现 12 级以上的阵风，极大风速达 36m/s。</w:t>
      </w:r>
    </w:p>
    <w:p w14:paraId="167E050C">
      <w:pPr>
        <w:ind w:firstLine="480"/>
        <w:rPr>
          <w:rFonts w:ascii="宋体" w:hAnsi="宋体"/>
          <w:bCs/>
        </w:rPr>
      </w:pPr>
      <w:r>
        <w:rPr>
          <w:rFonts w:hint="eastAsia" w:ascii="宋体" w:hAnsi="宋体"/>
          <w:bCs/>
        </w:rPr>
        <w:t>(5) 光热</w:t>
      </w:r>
    </w:p>
    <w:p w14:paraId="7B946669">
      <w:pPr>
        <w:ind w:firstLine="480"/>
        <w:rPr>
          <w:rFonts w:ascii="宋体" w:hAnsi="宋体"/>
          <w:bCs/>
        </w:rPr>
      </w:pPr>
      <w:r>
        <w:rPr>
          <w:rFonts w:hint="eastAsia" w:ascii="宋体" w:hAnsi="宋体"/>
          <w:bCs/>
        </w:rPr>
        <w:t>花都区光热条件好，日照时数充足，年平均日照时数为 1936.4 小时，7～10 月较多，各月均在 200h 以上，2～4 月较少，各月均不足 100h，其它月份在 130h～190h 之间。年正积温为 6872.7℃～8367.7℃。</w:t>
      </w:r>
    </w:p>
    <w:p w14:paraId="0729CE2C">
      <w:pPr>
        <w:ind w:firstLine="480"/>
        <w:rPr>
          <w:rFonts w:ascii="宋体" w:hAnsi="宋体"/>
          <w:bCs/>
        </w:rPr>
      </w:pPr>
      <w:r>
        <w:rPr>
          <w:rFonts w:hint="eastAsia" w:ascii="宋体" w:hAnsi="宋体"/>
          <w:bCs/>
        </w:rPr>
        <w:t>(6) 灾害气候</w:t>
      </w:r>
    </w:p>
    <w:p w14:paraId="03BDB9CC">
      <w:pPr>
        <w:ind w:firstLine="480"/>
        <w:rPr>
          <w:rFonts w:ascii="宋体" w:hAnsi="宋体"/>
          <w:bCs/>
        </w:rPr>
      </w:pPr>
      <w:r>
        <w:rPr>
          <w:rFonts w:hint="eastAsia" w:ascii="宋体" w:hAnsi="宋体"/>
          <w:bCs/>
        </w:rPr>
        <w:t>花都区受地理位置和气候的影响，灾害性气候较多，主要灾害性天气有春季的低温阴雨、夏季的台风、暴雨、秋冬的干旱、寒露风等。其中暴雨和干旱是花都区常发的灾害性天气，每年 4～8 月常出现日降雨量 80mm 以上的暴雨，形成洪涝灾害，而干旱又时常与洪涝相伴，往往出现季节性的先旱后涝，涝后又旱，年际间的旱涝交替，连旱连涝现象。台风也是花都主要的灾害性天气之一，其盛行期在 7 月下旬～9 月上旬，对农作物影响较大。</w:t>
      </w:r>
    </w:p>
    <w:p w14:paraId="208D872D">
      <w:pPr>
        <w:pStyle w:val="6"/>
        <w:ind w:firstLine="482"/>
      </w:pPr>
      <w:r>
        <w:rPr>
          <w:rFonts w:hint="eastAsia"/>
        </w:rPr>
        <w:t>水文</w:t>
      </w:r>
    </w:p>
    <w:p w14:paraId="7087886F">
      <w:pPr>
        <w:ind w:firstLine="480"/>
        <w:rPr>
          <w:rFonts w:ascii="宋体" w:hAnsi="宋体"/>
          <w:bCs/>
        </w:rPr>
      </w:pPr>
      <w:r>
        <w:rPr>
          <w:rFonts w:hint="eastAsia" w:ascii="宋体" w:hAnsi="宋体"/>
          <w:bCs/>
        </w:rPr>
        <w:t>（1）地下水概况</w:t>
      </w:r>
    </w:p>
    <w:p w14:paraId="38A2A8BE">
      <w:pPr>
        <w:ind w:firstLine="480"/>
        <w:rPr>
          <w:rFonts w:ascii="宋体" w:hAnsi="宋体"/>
          <w:bCs/>
        </w:rPr>
      </w:pPr>
      <w:r>
        <w:rPr>
          <w:rFonts w:hint="eastAsia" w:ascii="宋体" w:hAnsi="宋体"/>
          <w:bCs/>
        </w:rPr>
        <w:t>据钻探揭露，场地内地下水按照地下水的赋存方式可分为包气带上层滞水、基岩裂隙水、岩溶水等3 个类型。</w:t>
      </w:r>
    </w:p>
    <w:p w14:paraId="53304F3F">
      <w:pPr>
        <w:ind w:firstLine="480"/>
        <w:rPr>
          <w:rFonts w:ascii="宋体" w:hAnsi="宋体"/>
          <w:bCs/>
        </w:rPr>
      </w:pPr>
      <w:r>
        <w:rPr>
          <w:rFonts w:hint="eastAsia" w:ascii="宋体" w:hAnsi="宋体"/>
          <w:bCs/>
        </w:rPr>
        <w:t>⑴上层滞水：赋存于素填土中，主要接受大气降水补给，透水性良好，排泄方式主要为自然蒸发和垂直下渗。</w:t>
      </w:r>
    </w:p>
    <w:p w14:paraId="7F5D1600">
      <w:pPr>
        <w:ind w:firstLine="480"/>
        <w:rPr>
          <w:rFonts w:ascii="宋体" w:hAnsi="宋体"/>
          <w:bCs/>
        </w:rPr>
      </w:pPr>
      <w:r>
        <w:rPr>
          <w:rFonts w:hint="eastAsia" w:ascii="宋体" w:hAnsi="宋体"/>
          <w:bCs/>
        </w:rPr>
        <w:t>⑵ 基岩裂隙水：基岩裂隙水主要赋存于基岩风化裂隙中，赋水性亦较弱，含水层厚度因裂隙、节理发育程度不同而差异较大，透水性不均匀，透水性取决于裂缝宽度及贯通性，本场地裂隙水主要赋存于全、强风化岩层中下部（半岩半土状）及中风化岩上部破碎带中，基岩裂隙水补给主要来源于外围基岩裂隙水和构造裂隙水的侧向补给，并接受上部土层孔隙水越流补给，排泄方式主要为侧向径流。</w:t>
      </w:r>
    </w:p>
    <w:p w14:paraId="3121F058">
      <w:pPr>
        <w:ind w:firstLine="480"/>
        <w:rPr>
          <w:rFonts w:ascii="宋体" w:hAnsi="宋体"/>
          <w:bCs/>
        </w:rPr>
      </w:pPr>
      <w:r>
        <w:rPr>
          <w:rFonts w:hint="eastAsia" w:ascii="宋体" w:hAnsi="宋体"/>
          <w:bCs/>
        </w:rPr>
        <w:t>⑶ 灰岩区岩溶发育较弱且不均匀，本场地揭示的岩溶发育在下伏岩层中，下伏基岩总体上透水性和富水性较弱，但遇溶洞部位地下水较丰富，岩溶发育部位，裂隙岩溶水水量较丰富，揭穿时瞬间水量可能较大。本次钻探部分钻孔发现了溶洞，但难以查清溶洞的连通性，总之，本场地水文地质条件较复杂。建议基槽开挖时做好截水排水措施，在桩基础设计与施工时必须引起注意，并采取相应的措施。</w:t>
      </w:r>
    </w:p>
    <w:p w14:paraId="7E0E1AA2">
      <w:pPr>
        <w:ind w:firstLine="480"/>
        <w:rPr>
          <w:rFonts w:ascii="宋体" w:hAnsi="宋体"/>
          <w:bCs/>
        </w:rPr>
      </w:pPr>
      <w:r>
        <w:rPr>
          <w:rFonts w:hint="eastAsia" w:ascii="宋体" w:hAnsi="宋体"/>
          <w:bCs/>
        </w:rPr>
        <w:t>场地内存在的溶洞属于地下水作用的结果，因此在基础施工以及在建筑物使用过程中都应加强地下水的控制，避免地下水的剧烈波动，如在建筑场地内和能影响到建筑场地的范围内应禁止打井并高强度的抽汲地下水，在进行钻（冲）孔灌注桩施工时出现孔内涌水或漏水漏浆严重时，应先回填固封钻孔后重新钻进。</w:t>
      </w:r>
    </w:p>
    <w:p w14:paraId="1A8A0848">
      <w:pPr>
        <w:ind w:firstLine="480"/>
        <w:rPr>
          <w:rFonts w:ascii="宋体" w:hAnsi="宋体"/>
          <w:bCs/>
        </w:rPr>
      </w:pPr>
      <w:r>
        <w:rPr>
          <w:rFonts w:hint="eastAsia" w:ascii="宋体" w:hAnsi="宋体"/>
          <w:bCs/>
        </w:rPr>
        <w:t>地下水位的变化随季节性变化较大，一般雨季水位略有抬升，旱季水位略有降落。钻孔施工期间测得场区初见水位0.9~19.6m，混合稳定水位埋深在1.3~20.0m，</w:t>
      </w:r>
    </w:p>
    <w:p w14:paraId="3C6C72AC">
      <w:pPr>
        <w:ind w:firstLine="480"/>
        <w:rPr>
          <w:rFonts w:ascii="宋体" w:hAnsi="宋体"/>
          <w:bCs/>
        </w:rPr>
      </w:pPr>
      <w:r>
        <w:rPr>
          <w:rFonts w:hint="eastAsia" w:ascii="宋体" w:hAnsi="宋体"/>
          <w:bCs/>
        </w:rPr>
        <w:t>（2）地下水对建筑材料的腐蚀性</w:t>
      </w:r>
    </w:p>
    <w:p w14:paraId="2777F306">
      <w:pPr>
        <w:ind w:firstLine="480"/>
        <w:rPr>
          <w:rFonts w:ascii="宋体" w:hAnsi="宋体"/>
          <w:bCs/>
        </w:rPr>
      </w:pPr>
      <w:r>
        <w:rPr>
          <w:rFonts w:hint="eastAsia" w:ascii="宋体" w:hAnsi="宋体"/>
          <w:bCs/>
        </w:rPr>
        <w:t>本场地位于湿润区，为Ⅱ类环境，根据工程水质分析结果，按国家标准《岩土工程勘察规范》（GB50021-2001）（2009 版）的有关规定，结合本场地的岩土条件，场地水对混凝土结构均呈微腐蚀性，水对钢筋混凝土结构中的钢筋具微腐蚀性。</w:t>
      </w:r>
    </w:p>
    <w:p w14:paraId="3FB2EC0B">
      <w:pPr>
        <w:pStyle w:val="4"/>
        <w:spacing w:before="163" w:after="163"/>
        <w:ind w:firstLine="602"/>
      </w:pPr>
      <w:bookmarkStart w:id="77" w:name="_Toc68620613"/>
      <w:bookmarkStart w:id="78" w:name="_Toc71703557"/>
      <w:bookmarkStart w:id="79" w:name="_Toc32568"/>
      <w:r>
        <w:rPr>
          <w:rFonts w:hint="eastAsia"/>
        </w:rPr>
        <w:t>工程地质条件</w:t>
      </w:r>
      <w:bookmarkEnd w:id="77"/>
      <w:bookmarkEnd w:id="78"/>
      <w:bookmarkEnd w:id="79"/>
    </w:p>
    <w:p w14:paraId="4E164B0C">
      <w:pPr>
        <w:pStyle w:val="5"/>
        <w:spacing w:before="163" w:after="163"/>
        <w:ind w:firstLine="560"/>
      </w:pPr>
      <w:bookmarkStart w:id="80" w:name="_Toc71703558"/>
      <w:bookmarkStart w:id="81" w:name="_Toc68620614"/>
      <w:bookmarkStart w:id="82" w:name="_Toc2196"/>
      <w:r>
        <w:rPr>
          <w:rFonts w:hint="eastAsia"/>
        </w:rPr>
        <w:t>区域地质概况</w:t>
      </w:r>
      <w:bookmarkEnd w:id="80"/>
      <w:bookmarkEnd w:id="81"/>
      <w:bookmarkEnd w:id="82"/>
    </w:p>
    <w:p w14:paraId="4849D829">
      <w:pPr>
        <w:ind w:firstLine="480"/>
        <w:rPr>
          <w:rFonts w:ascii="宋体" w:hAnsi="宋体"/>
          <w:bCs/>
        </w:rPr>
      </w:pPr>
      <w:r>
        <w:rPr>
          <w:rFonts w:hint="eastAsia" w:ascii="宋体" w:hAnsi="宋体"/>
          <w:bCs/>
        </w:rPr>
        <w:t>（1）</w:t>
      </w:r>
      <w:r>
        <w:rPr>
          <w:rFonts w:ascii="宋体" w:hAnsi="宋体"/>
          <w:bCs/>
        </w:rPr>
        <w:t>地形地貌</w:t>
      </w:r>
    </w:p>
    <w:p w14:paraId="53F67DB3">
      <w:pPr>
        <w:ind w:firstLine="480"/>
        <w:rPr>
          <w:rFonts w:ascii="宋体" w:hAnsi="宋体"/>
          <w:bCs/>
        </w:rPr>
      </w:pPr>
      <w:r>
        <w:rPr>
          <w:rFonts w:hint="eastAsia" w:ascii="宋体" w:hAnsi="宋体"/>
          <w:bCs/>
        </w:rPr>
        <w:t>广州东北部为中低山区，中部为丘陵盆地，南部是沿海、沿江冲积平原，系珠江三角洲的组成部分。地形较平坦，属于广花盆地单元。</w:t>
      </w:r>
    </w:p>
    <w:p w14:paraId="32412FF1">
      <w:pPr>
        <w:ind w:firstLine="480"/>
        <w:rPr>
          <w:rFonts w:ascii="宋体" w:hAnsi="宋体"/>
          <w:bCs/>
        </w:rPr>
      </w:pPr>
      <w:r>
        <w:rPr>
          <w:rFonts w:hint="eastAsia" w:ascii="宋体" w:hAnsi="宋体"/>
          <w:bCs/>
        </w:rPr>
        <w:t>（2）场地岩土层分布</w:t>
      </w:r>
    </w:p>
    <w:p w14:paraId="59884BD3">
      <w:pPr>
        <w:autoSpaceDE w:val="0"/>
        <w:autoSpaceDN w:val="0"/>
        <w:adjustRightInd w:val="0"/>
        <w:ind w:firstLine="480"/>
        <w:jc w:val="left"/>
        <w:rPr>
          <w:rFonts w:ascii="宋体" w:cs="宋体"/>
          <w:kern w:val="0"/>
          <w:szCs w:val="24"/>
        </w:rPr>
      </w:pPr>
      <w:r>
        <w:rPr>
          <w:rFonts w:hint="eastAsia" w:ascii="宋体" w:cs="宋体"/>
          <w:kern w:val="0"/>
          <w:szCs w:val="24"/>
        </w:rPr>
        <w:t>根据钻孔揭露，场地岩土层按成因类型从上至下可划分为：（</w:t>
      </w:r>
      <w:r>
        <w:rPr>
          <w:rFonts w:cs="Times New Roman"/>
          <w:kern w:val="0"/>
          <w:szCs w:val="24"/>
        </w:rPr>
        <w:t>Q</w:t>
      </w:r>
      <w:r>
        <w:rPr>
          <w:rFonts w:cs="Times New Roman"/>
          <w:kern w:val="0"/>
          <w:sz w:val="16"/>
          <w:szCs w:val="16"/>
        </w:rPr>
        <w:t>4</w:t>
      </w:r>
      <w:r>
        <w:rPr>
          <w:rFonts w:cs="Times New Roman"/>
          <w:kern w:val="0"/>
          <w:sz w:val="22"/>
          <w:vertAlign w:val="superscript"/>
        </w:rPr>
        <w:t>ml</w:t>
      </w:r>
      <w:r>
        <w:rPr>
          <w:rFonts w:hint="eastAsia" w:ascii="宋体" w:cs="宋体"/>
          <w:kern w:val="0"/>
          <w:szCs w:val="24"/>
        </w:rPr>
        <w:t>）填土层、坡积层（</w:t>
      </w:r>
      <w:r>
        <w:rPr>
          <w:rFonts w:cs="Times New Roman"/>
          <w:kern w:val="0"/>
          <w:szCs w:val="24"/>
        </w:rPr>
        <w:t>Q</w:t>
      </w:r>
      <w:r>
        <w:rPr>
          <w:rFonts w:cs="Times New Roman"/>
          <w:kern w:val="0"/>
          <w:sz w:val="16"/>
          <w:szCs w:val="16"/>
        </w:rPr>
        <w:t>4</w:t>
      </w:r>
      <w:r>
        <w:rPr>
          <w:rFonts w:cs="Times New Roman"/>
          <w:kern w:val="0"/>
          <w:sz w:val="22"/>
          <w:vertAlign w:val="superscript"/>
        </w:rPr>
        <w:t>dl</w:t>
      </w:r>
      <w:r>
        <w:rPr>
          <w:rFonts w:hint="eastAsia" w:ascii="宋体" w:cs="宋体"/>
          <w:kern w:val="0"/>
          <w:szCs w:val="24"/>
        </w:rPr>
        <w:t>）、残积层（</w:t>
      </w:r>
      <w:r>
        <w:rPr>
          <w:rFonts w:cs="Times New Roman"/>
          <w:kern w:val="0"/>
          <w:szCs w:val="24"/>
        </w:rPr>
        <w:t>Q</w:t>
      </w:r>
      <w:r>
        <w:rPr>
          <w:rFonts w:cs="Times New Roman"/>
          <w:kern w:val="0"/>
          <w:sz w:val="16"/>
          <w:szCs w:val="16"/>
        </w:rPr>
        <w:t>4</w:t>
      </w:r>
      <w:r>
        <w:rPr>
          <w:rFonts w:cs="Times New Roman"/>
          <w:kern w:val="0"/>
          <w:sz w:val="22"/>
          <w:vertAlign w:val="superscript"/>
        </w:rPr>
        <w:t>el</w:t>
      </w:r>
      <w:r>
        <w:rPr>
          <w:rFonts w:hint="eastAsia" w:ascii="宋体" w:cs="宋体"/>
          <w:kern w:val="0"/>
          <w:szCs w:val="24"/>
        </w:rPr>
        <w:t>）、石炭系石灰岩、砂岩、页岩（</w:t>
      </w:r>
      <w:r>
        <w:rPr>
          <w:rFonts w:cs="Times New Roman"/>
          <w:kern w:val="0"/>
          <w:szCs w:val="24"/>
        </w:rPr>
        <w:t>C</w:t>
      </w:r>
      <w:r>
        <w:rPr>
          <w:rFonts w:hint="eastAsia" w:ascii="宋体" w:cs="宋体"/>
          <w:kern w:val="0"/>
          <w:szCs w:val="24"/>
        </w:rPr>
        <w:t>）。现将各岩土层的分布特点及物理力学性质分述如下：</w:t>
      </w:r>
    </w:p>
    <w:p w14:paraId="5CD1BC6F">
      <w:pPr>
        <w:autoSpaceDE w:val="0"/>
        <w:autoSpaceDN w:val="0"/>
        <w:adjustRightInd w:val="0"/>
        <w:ind w:firstLine="480"/>
        <w:jc w:val="left"/>
        <w:rPr>
          <w:rFonts w:ascii="宋体" w:cs="宋体"/>
          <w:kern w:val="0"/>
          <w:szCs w:val="24"/>
        </w:rPr>
      </w:pPr>
      <w:r>
        <w:rPr>
          <w:rFonts w:cs="Times New Roman"/>
          <w:kern w:val="0"/>
          <w:szCs w:val="24"/>
        </w:rPr>
        <w:t xml:space="preserve">3.2.1 </w:t>
      </w:r>
      <w:r>
        <w:rPr>
          <w:rFonts w:hint="eastAsia" w:ascii="宋体" w:cs="宋体"/>
          <w:kern w:val="0"/>
          <w:szCs w:val="24"/>
        </w:rPr>
        <w:t>素填土层（</w:t>
      </w:r>
      <w:r>
        <w:rPr>
          <w:rFonts w:cs="Times New Roman"/>
          <w:kern w:val="0"/>
          <w:szCs w:val="24"/>
        </w:rPr>
        <w:t>Q</w:t>
      </w:r>
      <w:r>
        <w:rPr>
          <w:rFonts w:cs="Times New Roman"/>
          <w:kern w:val="0"/>
          <w:sz w:val="16"/>
          <w:szCs w:val="16"/>
        </w:rPr>
        <w:t>4</w:t>
      </w:r>
      <w:r>
        <w:rPr>
          <w:rFonts w:cs="Times New Roman"/>
          <w:kern w:val="0"/>
          <w:sz w:val="22"/>
          <w:vertAlign w:val="superscript"/>
        </w:rPr>
        <w:t>ml</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①</w:t>
      </w:r>
      <w:r>
        <w:rPr>
          <w:rFonts w:cs="Times New Roman"/>
          <w:kern w:val="0"/>
          <w:szCs w:val="24"/>
        </w:rPr>
        <w:t>&gt;</w:t>
      </w:r>
      <w:r>
        <w:rPr>
          <w:rFonts w:hint="eastAsia" w:ascii="宋体" w:cs="宋体"/>
          <w:kern w:val="0"/>
          <w:szCs w:val="24"/>
        </w:rPr>
        <w:t>：</w:t>
      </w:r>
    </w:p>
    <w:p w14:paraId="7536E5E8">
      <w:pPr>
        <w:autoSpaceDE w:val="0"/>
        <w:autoSpaceDN w:val="0"/>
        <w:adjustRightInd w:val="0"/>
        <w:ind w:firstLine="480"/>
        <w:jc w:val="left"/>
        <w:rPr>
          <w:rFonts w:ascii="宋体" w:cs="宋体"/>
          <w:kern w:val="0"/>
          <w:szCs w:val="24"/>
        </w:rPr>
      </w:pPr>
      <w:r>
        <w:rPr>
          <w:rFonts w:hint="eastAsia" w:ascii="宋体" w:cs="宋体"/>
          <w:kern w:val="0"/>
          <w:szCs w:val="24"/>
        </w:rPr>
        <w:t>褐黄色、浅灰色，松散，稍湿，以粉质黏土为主，含较多角砾、碎石等，碎石大多为砂岩原岩碎块，堆龄约</w:t>
      </w:r>
      <w:r>
        <w:rPr>
          <w:rFonts w:cs="Times New Roman"/>
          <w:kern w:val="0"/>
          <w:szCs w:val="24"/>
        </w:rPr>
        <w:t>5</w:t>
      </w:r>
      <w:r>
        <w:rPr>
          <w:rFonts w:hint="eastAsia" w:ascii="宋体" w:cs="宋体"/>
          <w:kern w:val="0"/>
          <w:szCs w:val="24"/>
        </w:rPr>
        <w:t>～</w:t>
      </w:r>
      <w:r>
        <w:rPr>
          <w:rFonts w:cs="Times New Roman"/>
          <w:kern w:val="0"/>
          <w:szCs w:val="24"/>
        </w:rPr>
        <w:t xml:space="preserve">10 </w:t>
      </w:r>
      <w:r>
        <w:rPr>
          <w:rFonts w:hint="eastAsia" w:ascii="宋体" w:cs="宋体"/>
          <w:kern w:val="0"/>
          <w:szCs w:val="24"/>
        </w:rPr>
        <w:t>年。层厚</w:t>
      </w:r>
      <w:r>
        <w:rPr>
          <w:rFonts w:cs="Times New Roman"/>
          <w:kern w:val="0"/>
          <w:szCs w:val="24"/>
        </w:rPr>
        <w:t>1.00~3.80m</w:t>
      </w:r>
      <w:r>
        <w:rPr>
          <w:rFonts w:hint="eastAsia" w:ascii="宋体" w:cs="宋体"/>
          <w:kern w:val="0"/>
          <w:szCs w:val="24"/>
        </w:rPr>
        <w:t>，平均厚度</w:t>
      </w:r>
      <w:r>
        <w:rPr>
          <w:rFonts w:cs="Times New Roman"/>
          <w:kern w:val="0"/>
          <w:szCs w:val="24"/>
        </w:rPr>
        <w:t>2.41m</w:t>
      </w:r>
      <w:r>
        <w:rPr>
          <w:rFonts w:hint="eastAsia" w:ascii="宋体" w:cs="宋体"/>
          <w:kern w:val="0"/>
          <w:szCs w:val="24"/>
        </w:rPr>
        <w:t>。本层共进行标准贯入试验</w:t>
      </w:r>
      <w:r>
        <w:rPr>
          <w:rFonts w:cs="Times New Roman"/>
          <w:kern w:val="0"/>
          <w:szCs w:val="24"/>
        </w:rPr>
        <w:t>8</w:t>
      </w:r>
      <w:r>
        <w:rPr>
          <w:rFonts w:hint="eastAsia" w:ascii="宋体" w:cs="宋体"/>
          <w:kern w:val="0"/>
          <w:szCs w:val="24"/>
        </w:rPr>
        <w:t>次，实测击数</w:t>
      </w:r>
      <w:r>
        <w:rPr>
          <w:rFonts w:cs="Times New Roman"/>
          <w:kern w:val="0"/>
          <w:szCs w:val="24"/>
        </w:rPr>
        <w:t xml:space="preserve">10~6 </w:t>
      </w:r>
      <w:r>
        <w:rPr>
          <w:rFonts w:hint="eastAsia" w:ascii="宋体" w:cs="宋体"/>
          <w:kern w:val="0"/>
          <w:szCs w:val="24"/>
        </w:rPr>
        <w:t>击，平均</w:t>
      </w:r>
      <w:r>
        <w:rPr>
          <w:rFonts w:cs="Times New Roman"/>
          <w:kern w:val="0"/>
          <w:szCs w:val="24"/>
        </w:rPr>
        <w:t xml:space="preserve">8 </w:t>
      </w:r>
      <w:r>
        <w:rPr>
          <w:rFonts w:hint="eastAsia" w:ascii="宋体" w:cs="宋体"/>
          <w:kern w:val="0"/>
          <w:szCs w:val="24"/>
        </w:rPr>
        <w:t>击，修正击数</w:t>
      </w:r>
      <w:r>
        <w:rPr>
          <w:rFonts w:cs="Times New Roman"/>
          <w:kern w:val="0"/>
          <w:szCs w:val="24"/>
        </w:rPr>
        <w:t xml:space="preserve">10~6 </w:t>
      </w:r>
      <w:r>
        <w:rPr>
          <w:rFonts w:hint="eastAsia" w:ascii="宋体" w:cs="宋体"/>
          <w:kern w:val="0"/>
          <w:szCs w:val="24"/>
        </w:rPr>
        <w:t>击，平均</w:t>
      </w:r>
      <w:r>
        <w:rPr>
          <w:rFonts w:cs="Times New Roman"/>
          <w:kern w:val="0"/>
          <w:szCs w:val="24"/>
        </w:rPr>
        <w:t xml:space="preserve">7.9 </w:t>
      </w:r>
      <w:r>
        <w:rPr>
          <w:rFonts w:hint="eastAsia" w:ascii="宋体" w:cs="宋体"/>
          <w:kern w:val="0"/>
          <w:szCs w:val="24"/>
        </w:rPr>
        <w:t>击。</w:t>
      </w:r>
    </w:p>
    <w:p w14:paraId="561EF196">
      <w:pPr>
        <w:autoSpaceDE w:val="0"/>
        <w:autoSpaceDN w:val="0"/>
        <w:adjustRightInd w:val="0"/>
        <w:ind w:firstLine="480"/>
        <w:jc w:val="left"/>
        <w:rPr>
          <w:rFonts w:ascii="宋体" w:cs="宋体"/>
          <w:kern w:val="0"/>
          <w:szCs w:val="24"/>
        </w:rPr>
      </w:pPr>
      <w:r>
        <w:rPr>
          <w:rFonts w:hint="eastAsia" w:ascii="宋体" w:cs="宋体"/>
          <w:kern w:val="0"/>
          <w:szCs w:val="24"/>
        </w:rPr>
        <w:t>建议承载力特征值经验值</w:t>
      </w:r>
      <w:r>
        <w:rPr>
          <w:rFonts w:cs="Times New Roman"/>
          <w:i/>
          <w:iCs/>
          <w:kern w:val="0"/>
          <w:szCs w:val="24"/>
        </w:rPr>
        <w:t>f</w:t>
      </w:r>
      <w:r>
        <w:rPr>
          <w:rFonts w:cs="Times New Roman"/>
          <w:kern w:val="0"/>
          <w:sz w:val="16"/>
          <w:szCs w:val="16"/>
        </w:rPr>
        <w:t>ak</w:t>
      </w:r>
      <w:r>
        <w:rPr>
          <w:rFonts w:cs="Times New Roman"/>
          <w:kern w:val="0"/>
          <w:szCs w:val="24"/>
        </w:rPr>
        <w:t>=80kPa</w:t>
      </w:r>
      <w:r>
        <w:rPr>
          <w:rFonts w:hint="eastAsia" w:ascii="宋体" w:cs="宋体"/>
          <w:kern w:val="0"/>
          <w:szCs w:val="24"/>
        </w:rPr>
        <w:t>。</w:t>
      </w:r>
    </w:p>
    <w:p w14:paraId="7C26EE84">
      <w:pPr>
        <w:autoSpaceDE w:val="0"/>
        <w:autoSpaceDN w:val="0"/>
        <w:adjustRightInd w:val="0"/>
        <w:ind w:firstLine="480"/>
        <w:jc w:val="left"/>
        <w:rPr>
          <w:rFonts w:ascii="宋体" w:cs="宋体"/>
          <w:kern w:val="0"/>
          <w:szCs w:val="24"/>
        </w:rPr>
      </w:pPr>
      <w:r>
        <w:rPr>
          <w:rFonts w:cs="Times New Roman"/>
          <w:kern w:val="0"/>
          <w:szCs w:val="24"/>
        </w:rPr>
        <w:t xml:space="preserve">3.2.2 </w:t>
      </w:r>
      <w:r>
        <w:rPr>
          <w:rFonts w:hint="eastAsia" w:ascii="宋体" w:cs="宋体"/>
          <w:kern w:val="0"/>
          <w:szCs w:val="24"/>
        </w:rPr>
        <w:t>第四系坡积层（</w:t>
      </w:r>
      <w:r>
        <w:rPr>
          <w:rFonts w:cs="Times New Roman"/>
          <w:kern w:val="0"/>
          <w:szCs w:val="24"/>
        </w:rPr>
        <w:t>Q</w:t>
      </w:r>
      <w:r>
        <w:rPr>
          <w:rFonts w:cs="Times New Roman"/>
          <w:kern w:val="0"/>
          <w:sz w:val="16"/>
          <w:szCs w:val="16"/>
        </w:rPr>
        <w:t>4</w:t>
      </w:r>
      <w:r>
        <w:rPr>
          <w:rFonts w:cs="Times New Roman"/>
          <w:kern w:val="0"/>
          <w:sz w:val="22"/>
          <w:vertAlign w:val="superscript"/>
        </w:rPr>
        <w:t>dl</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②</w:t>
      </w:r>
      <w:r>
        <w:rPr>
          <w:rFonts w:cs="Times New Roman"/>
          <w:kern w:val="0"/>
          <w:szCs w:val="24"/>
        </w:rPr>
        <w:t>&gt;</w:t>
      </w:r>
      <w:r>
        <w:rPr>
          <w:rFonts w:hint="eastAsia" w:ascii="宋体" w:cs="宋体"/>
          <w:kern w:val="0"/>
          <w:szCs w:val="24"/>
        </w:rPr>
        <w:t>：</w:t>
      </w:r>
    </w:p>
    <w:p w14:paraId="7C9934C9">
      <w:pPr>
        <w:autoSpaceDE w:val="0"/>
        <w:autoSpaceDN w:val="0"/>
        <w:adjustRightInd w:val="0"/>
        <w:ind w:firstLine="480"/>
        <w:jc w:val="left"/>
        <w:rPr>
          <w:rFonts w:ascii="宋体" w:cs="宋体"/>
          <w:kern w:val="0"/>
          <w:szCs w:val="24"/>
        </w:rPr>
      </w:pPr>
      <w:r>
        <w:rPr>
          <w:rFonts w:hint="eastAsia" w:ascii="宋体" w:cs="宋体"/>
          <w:kern w:val="0"/>
          <w:szCs w:val="24"/>
        </w:rPr>
        <w:t>粉质粘土：褐黄色，可塑，主要由粉、黏粒组成，土质不均，局部夹少量角砾和砂岩岩块，碎石含量为</w:t>
      </w:r>
      <w:r>
        <w:rPr>
          <w:rFonts w:cs="Times New Roman"/>
          <w:kern w:val="0"/>
          <w:szCs w:val="24"/>
        </w:rPr>
        <w:t>40%</w:t>
      </w:r>
      <w:r>
        <w:rPr>
          <w:rFonts w:hint="eastAsia" w:ascii="宋体" w:cs="宋体"/>
          <w:kern w:val="0"/>
          <w:szCs w:val="24"/>
        </w:rPr>
        <w:t>，块经</w:t>
      </w:r>
      <w:r>
        <w:rPr>
          <w:rFonts w:cs="Times New Roman"/>
          <w:kern w:val="0"/>
          <w:szCs w:val="24"/>
        </w:rPr>
        <w:t>2-25cm</w:t>
      </w:r>
      <w:r>
        <w:rPr>
          <w:rFonts w:hint="eastAsia" w:ascii="宋体" w:cs="宋体"/>
          <w:kern w:val="0"/>
          <w:szCs w:val="24"/>
        </w:rPr>
        <w:t>。层厚</w:t>
      </w:r>
      <w:r>
        <w:rPr>
          <w:rFonts w:cs="Times New Roman"/>
          <w:kern w:val="0"/>
          <w:szCs w:val="24"/>
        </w:rPr>
        <w:t>0.70~11.80m</w:t>
      </w:r>
      <w:r>
        <w:rPr>
          <w:rFonts w:hint="eastAsia" w:ascii="宋体" w:cs="宋体"/>
          <w:kern w:val="0"/>
          <w:szCs w:val="24"/>
        </w:rPr>
        <w:t>，平均厚度</w:t>
      </w:r>
      <w:r>
        <w:rPr>
          <w:rFonts w:cs="Times New Roman"/>
          <w:kern w:val="0"/>
          <w:szCs w:val="24"/>
        </w:rPr>
        <w:t>3.94m</w:t>
      </w:r>
      <w:r>
        <w:rPr>
          <w:rFonts w:hint="eastAsia" w:ascii="宋体" w:cs="宋体"/>
          <w:kern w:val="0"/>
          <w:szCs w:val="24"/>
        </w:rPr>
        <w:t>。本层共进行标准贯入试验</w:t>
      </w:r>
      <w:r>
        <w:rPr>
          <w:rFonts w:cs="Times New Roman"/>
          <w:kern w:val="0"/>
          <w:szCs w:val="24"/>
        </w:rPr>
        <w:t xml:space="preserve">29 </w:t>
      </w:r>
      <w:r>
        <w:rPr>
          <w:rFonts w:hint="eastAsia" w:ascii="宋体" w:cs="宋体"/>
          <w:kern w:val="0"/>
          <w:szCs w:val="24"/>
        </w:rPr>
        <w:t>次，实测击数</w:t>
      </w:r>
      <w:r>
        <w:rPr>
          <w:rFonts w:cs="Times New Roman"/>
          <w:kern w:val="0"/>
          <w:szCs w:val="24"/>
        </w:rPr>
        <w:t xml:space="preserve">18~6 </w:t>
      </w:r>
      <w:r>
        <w:rPr>
          <w:rFonts w:hint="eastAsia" w:ascii="宋体" w:cs="宋体"/>
          <w:kern w:val="0"/>
          <w:szCs w:val="24"/>
        </w:rPr>
        <w:t>击，平均</w:t>
      </w:r>
      <w:r>
        <w:rPr>
          <w:rFonts w:cs="Times New Roman"/>
          <w:kern w:val="0"/>
          <w:szCs w:val="24"/>
        </w:rPr>
        <w:t xml:space="preserve">10.7 </w:t>
      </w:r>
      <w:r>
        <w:rPr>
          <w:rFonts w:hint="eastAsia" w:ascii="宋体" w:cs="宋体"/>
          <w:kern w:val="0"/>
          <w:szCs w:val="24"/>
        </w:rPr>
        <w:t>击，修正击数</w:t>
      </w:r>
      <w:r>
        <w:rPr>
          <w:rFonts w:cs="Times New Roman"/>
          <w:kern w:val="0"/>
          <w:szCs w:val="24"/>
        </w:rPr>
        <w:t xml:space="preserve">15.3~5.9 </w:t>
      </w:r>
      <w:r>
        <w:rPr>
          <w:rFonts w:hint="eastAsia" w:ascii="宋体" w:cs="宋体"/>
          <w:kern w:val="0"/>
          <w:szCs w:val="24"/>
        </w:rPr>
        <w:t>击，平均</w:t>
      </w:r>
      <w:r>
        <w:rPr>
          <w:rFonts w:cs="Times New Roman"/>
          <w:kern w:val="0"/>
          <w:szCs w:val="24"/>
        </w:rPr>
        <w:t xml:space="preserve">10.2 </w:t>
      </w:r>
      <w:r>
        <w:rPr>
          <w:rFonts w:hint="eastAsia" w:ascii="宋体" w:cs="宋体"/>
          <w:kern w:val="0"/>
          <w:szCs w:val="24"/>
        </w:rPr>
        <w:t>击。建议承载力特征值经验值</w:t>
      </w:r>
      <w:r>
        <w:rPr>
          <w:rFonts w:cs="Times New Roman"/>
          <w:i/>
          <w:iCs/>
          <w:kern w:val="0"/>
          <w:szCs w:val="24"/>
        </w:rPr>
        <w:t>f</w:t>
      </w:r>
      <w:r>
        <w:rPr>
          <w:rFonts w:cs="Times New Roman"/>
          <w:kern w:val="0"/>
          <w:sz w:val="16"/>
          <w:szCs w:val="16"/>
        </w:rPr>
        <w:t>ak</w:t>
      </w:r>
      <w:r>
        <w:rPr>
          <w:rFonts w:cs="Times New Roman"/>
          <w:kern w:val="0"/>
          <w:szCs w:val="24"/>
        </w:rPr>
        <w:t>=130kPa</w:t>
      </w:r>
      <w:r>
        <w:rPr>
          <w:rFonts w:hint="eastAsia" w:ascii="宋体" w:cs="宋体"/>
          <w:kern w:val="0"/>
          <w:szCs w:val="24"/>
        </w:rPr>
        <w:t>。</w:t>
      </w:r>
    </w:p>
    <w:p w14:paraId="1C8B0685">
      <w:pPr>
        <w:autoSpaceDE w:val="0"/>
        <w:autoSpaceDN w:val="0"/>
        <w:adjustRightInd w:val="0"/>
        <w:ind w:firstLine="480"/>
        <w:jc w:val="left"/>
        <w:rPr>
          <w:rFonts w:ascii="宋体" w:cs="宋体"/>
          <w:kern w:val="0"/>
          <w:szCs w:val="24"/>
        </w:rPr>
      </w:pPr>
      <w:r>
        <w:rPr>
          <w:rFonts w:cs="Times New Roman"/>
          <w:kern w:val="0"/>
          <w:szCs w:val="24"/>
        </w:rPr>
        <w:t xml:space="preserve">3.2.3 </w:t>
      </w:r>
      <w:r>
        <w:rPr>
          <w:rFonts w:hint="eastAsia" w:ascii="宋体" w:cs="宋体"/>
          <w:kern w:val="0"/>
          <w:szCs w:val="24"/>
        </w:rPr>
        <w:t>第四系残积层（</w:t>
      </w:r>
      <w:r>
        <w:rPr>
          <w:rFonts w:cs="Times New Roman"/>
          <w:kern w:val="0"/>
          <w:szCs w:val="24"/>
        </w:rPr>
        <w:t>Q</w:t>
      </w:r>
      <w:r>
        <w:rPr>
          <w:rFonts w:cs="Times New Roman"/>
          <w:kern w:val="0"/>
          <w:sz w:val="16"/>
          <w:szCs w:val="16"/>
        </w:rPr>
        <w:t>4</w:t>
      </w:r>
      <w:r>
        <w:rPr>
          <w:rFonts w:cs="Times New Roman"/>
          <w:kern w:val="0"/>
          <w:sz w:val="22"/>
          <w:vertAlign w:val="superscript"/>
        </w:rPr>
        <w:t>el</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③</w:t>
      </w:r>
      <w:r>
        <w:rPr>
          <w:rFonts w:cs="Times New Roman"/>
          <w:kern w:val="0"/>
          <w:szCs w:val="24"/>
        </w:rPr>
        <w:t>&gt;</w:t>
      </w:r>
      <w:r>
        <w:rPr>
          <w:rFonts w:hint="eastAsia" w:ascii="宋体" w:cs="宋体"/>
          <w:kern w:val="0"/>
          <w:szCs w:val="24"/>
        </w:rPr>
        <w:t>：</w:t>
      </w:r>
    </w:p>
    <w:p w14:paraId="1C85EDC4">
      <w:pPr>
        <w:autoSpaceDE w:val="0"/>
        <w:autoSpaceDN w:val="0"/>
        <w:adjustRightInd w:val="0"/>
        <w:ind w:firstLine="480"/>
        <w:jc w:val="left"/>
        <w:rPr>
          <w:rFonts w:cs="Times New Roman"/>
          <w:kern w:val="0"/>
          <w:szCs w:val="24"/>
        </w:rPr>
      </w:pPr>
      <w:r>
        <w:rPr>
          <w:rFonts w:hint="eastAsia" w:ascii="宋体" w:cs="宋体"/>
          <w:kern w:val="0"/>
          <w:szCs w:val="24"/>
        </w:rPr>
        <w:t>粉质粘土：灰黄色，可塑，土质不均匀，为砂岩风化残积土，遇水易软化，崩解。层厚</w:t>
      </w:r>
      <w:r>
        <w:rPr>
          <w:rFonts w:cs="Times New Roman"/>
          <w:kern w:val="0"/>
          <w:szCs w:val="24"/>
        </w:rPr>
        <w:t>0.90~13.40m</w:t>
      </w:r>
      <w:r>
        <w:rPr>
          <w:rFonts w:hint="eastAsia" w:ascii="宋体" w:cs="宋体"/>
          <w:kern w:val="0"/>
          <w:szCs w:val="24"/>
        </w:rPr>
        <w:t>，平均厚度</w:t>
      </w:r>
      <w:r>
        <w:rPr>
          <w:rFonts w:cs="Times New Roman"/>
          <w:kern w:val="0"/>
          <w:szCs w:val="24"/>
        </w:rPr>
        <w:t>4.38m</w:t>
      </w:r>
      <w:r>
        <w:rPr>
          <w:rFonts w:hint="eastAsia" w:ascii="宋体" w:cs="宋体"/>
          <w:kern w:val="0"/>
          <w:szCs w:val="24"/>
        </w:rPr>
        <w:t>。本层取样</w:t>
      </w:r>
      <w:r>
        <w:rPr>
          <w:rFonts w:cs="Times New Roman"/>
          <w:kern w:val="0"/>
          <w:szCs w:val="24"/>
        </w:rPr>
        <w:t xml:space="preserve">7 </w:t>
      </w:r>
      <w:r>
        <w:rPr>
          <w:rFonts w:hint="eastAsia" w:ascii="宋体" w:cs="宋体"/>
          <w:kern w:val="0"/>
          <w:szCs w:val="24"/>
        </w:rPr>
        <w:t>件（详见附表</w:t>
      </w:r>
      <w:r>
        <w:rPr>
          <w:rFonts w:cs="Times New Roman"/>
          <w:kern w:val="0"/>
          <w:szCs w:val="24"/>
        </w:rPr>
        <w:t xml:space="preserve">5 </w:t>
      </w:r>
      <w:r>
        <w:rPr>
          <w:rFonts w:hint="eastAsia" w:ascii="宋体" w:cs="宋体"/>
          <w:kern w:val="0"/>
          <w:szCs w:val="24"/>
        </w:rPr>
        <w:t>及土工试验报告）。本层共进行标准贯入试验</w:t>
      </w:r>
      <w:r>
        <w:rPr>
          <w:rFonts w:cs="Times New Roman"/>
          <w:kern w:val="0"/>
          <w:szCs w:val="24"/>
        </w:rPr>
        <w:t xml:space="preserve">17 </w:t>
      </w:r>
      <w:r>
        <w:rPr>
          <w:rFonts w:hint="eastAsia" w:ascii="宋体" w:cs="宋体"/>
          <w:kern w:val="0"/>
          <w:szCs w:val="24"/>
        </w:rPr>
        <w:t>次，实测击数</w:t>
      </w:r>
      <w:r>
        <w:rPr>
          <w:rFonts w:cs="Times New Roman"/>
          <w:kern w:val="0"/>
          <w:szCs w:val="24"/>
        </w:rPr>
        <w:t xml:space="preserve">22~6 </w:t>
      </w:r>
      <w:r>
        <w:rPr>
          <w:rFonts w:hint="eastAsia" w:ascii="宋体" w:cs="宋体"/>
          <w:kern w:val="0"/>
          <w:szCs w:val="24"/>
        </w:rPr>
        <w:t>击，平均</w:t>
      </w:r>
      <w:r>
        <w:rPr>
          <w:rFonts w:cs="Times New Roman"/>
          <w:kern w:val="0"/>
          <w:szCs w:val="24"/>
        </w:rPr>
        <w:t xml:space="preserve">15.6 </w:t>
      </w:r>
      <w:r>
        <w:rPr>
          <w:rFonts w:hint="eastAsia" w:ascii="宋体" w:cs="宋体"/>
          <w:kern w:val="0"/>
          <w:szCs w:val="24"/>
        </w:rPr>
        <w:t>击，修正击数</w:t>
      </w:r>
      <w:r>
        <w:rPr>
          <w:rFonts w:cs="Times New Roman"/>
          <w:kern w:val="0"/>
          <w:szCs w:val="24"/>
        </w:rPr>
        <w:t xml:space="preserve">19.9~5.8 </w:t>
      </w:r>
      <w:r>
        <w:rPr>
          <w:rFonts w:hint="eastAsia" w:ascii="宋体" w:cs="宋体"/>
          <w:kern w:val="0"/>
          <w:szCs w:val="24"/>
        </w:rPr>
        <w:t>击，平均</w:t>
      </w:r>
      <w:r>
        <w:rPr>
          <w:rFonts w:cs="Times New Roman"/>
          <w:kern w:val="0"/>
          <w:szCs w:val="24"/>
        </w:rPr>
        <w:t>13.2</w:t>
      </w:r>
    </w:p>
    <w:p w14:paraId="58FF3CB0">
      <w:pPr>
        <w:autoSpaceDE w:val="0"/>
        <w:autoSpaceDN w:val="0"/>
        <w:adjustRightInd w:val="0"/>
        <w:ind w:firstLine="480"/>
        <w:jc w:val="left"/>
        <w:rPr>
          <w:rFonts w:ascii="宋体" w:cs="宋体"/>
          <w:kern w:val="0"/>
          <w:szCs w:val="24"/>
        </w:rPr>
      </w:pPr>
      <w:r>
        <w:rPr>
          <w:rFonts w:hint="eastAsia" w:ascii="宋体" w:cs="宋体"/>
          <w:kern w:val="0"/>
          <w:szCs w:val="24"/>
        </w:rPr>
        <w:t>击。建议承载力特征值经验值</w:t>
      </w:r>
      <w:r>
        <w:rPr>
          <w:rFonts w:cs="Times New Roman"/>
          <w:i/>
          <w:iCs/>
          <w:kern w:val="0"/>
          <w:szCs w:val="24"/>
        </w:rPr>
        <w:t>f</w:t>
      </w:r>
      <w:r>
        <w:rPr>
          <w:rFonts w:cs="Times New Roman"/>
          <w:kern w:val="0"/>
          <w:sz w:val="16"/>
          <w:szCs w:val="16"/>
        </w:rPr>
        <w:t>ak</w:t>
      </w:r>
      <w:r>
        <w:rPr>
          <w:rFonts w:cs="Times New Roman"/>
          <w:kern w:val="0"/>
          <w:szCs w:val="24"/>
        </w:rPr>
        <w:t>=130kPa</w:t>
      </w:r>
      <w:r>
        <w:rPr>
          <w:rFonts w:hint="eastAsia" w:ascii="宋体" w:cs="宋体"/>
          <w:kern w:val="0"/>
          <w:szCs w:val="24"/>
        </w:rPr>
        <w:t>。</w:t>
      </w:r>
    </w:p>
    <w:p w14:paraId="52C80686">
      <w:pPr>
        <w:autoSpaceDE w:val="0"/>
        <w:autoSpaceDN w:val="0"/>
        <w:adjustRightInd w:val="0"/>
        <w:ind w:firstLine="480"/>
        <w:jc w:val="left"/>
        <w:rPr>
          <w:rFonts w:ascii="宋体" w:cs="宋体"/>
          <w:kern w:val="0"/>
          <w:szCs w:val="24"/>
        </w:rPr>
      </w:pPr>
      <w:r>
        <w:rPr>
          <w:rFonts w:cs="Times New Roman"/>
          <w:kern w:val="0"/>
          <w:szCs w:val="24"/>
        </w:rPr>
        <w:t xml:space="preserve">3.2.4 </w:t>
      </w:r>
      <w:r>
        <w:rPr>
          <w:rFonts w:hint="eastAsia" w:ascii="宋体" w:cs="宋体"/>
          <w:kern w:val="0"/>
          <w:szCs w:val="24"/>
        </w:rPr>
        <w:t>石炭系砂岩（</w:t>
      </w:r>
      <w:r>
        <w:rPr>
          <w:rFonts w:cs="Times New Roman"/>
          <w:kern w:val="0"/>
          <w:szCs w:val="24"/>
        </w:rPr>
        <w:t>C</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④</w:t>
      </w:r>
      <w:r>
        <w:rPr>
          <w:rFonts w:cs="Times New Roman"/>
          <w:kern w:val="0"/>
          <w:szCs w:val="24"/>
        </w:rPr>
        <w:t>&gt;</w:t>
      </w:r>
      <w:r>
        <w:rPr>
          <w:rFonts w:hint="eastAsia" w:ascii="宋体" w:cs="宋体"/>
          <w:kern w:val="0"/>
          <w:szCs w:val="24"/>
        </w:rPr>
        <w:t>：</w:t>
      </w:r>
    </w:p>
    <w:p w14:paraId="5EAF33AC">
      <w:pPr>
        <w:autoSpaceDE w:val="0"/>
        <w:autoSpaceDN w:val="0"/>
        <w:adjustRightInd w:val="0"/>
        <w:ind w:firstLine="480"/>
        <w:jc w:val="left"/>
        <w:rPr>
          <w:rFonts w:ascii="宋体" w:cs="宋体"/>
          <w:kern w:val="0"/>
          <w:szCs w:val="24"/>
        </w:rPr>
      </w:pPr>
      <w:r>
        <w:rPr>
          <w:rFonts w:hint="eastAsia" w:ascii="宋体" w:cs="宋体"/>
          <w:kern w:val="0"/>
          <w:szCs w:val="24"/>
        </w:rPr>
        <w:t>④</w:t>
      </w:r>
      <w:r>
        <w:rPr>
          <w:rFonts w:cs="Times New Roman"/>
          <w:kern w:val="0"/>
          <w:sz w:val="16"/>
          <w:szCs w:val="16"/>
        </w:rPr>
        <w:t xml:space="preserve">1 </w:t>
      </w:r>
      <w:r>
        <w:rPr>
          <w:rFonts w:hint="eastAsia" w:ascii="宋体" w:cs="宋体"/>
          <w:kern w:val="0"/>
          <w:szCs w:val="24"/>
        </w:rPr>
        <w:t>全风化砂岩：红褐色、黄褐色，主要矿物为石英、长石，原岩结构尚可辨认，岩芯以坚硬土柱状为主，局部可见少量碎屑状强风化原岩碎块，碎块裂隙极发育，强度很低，易折断。层厚</w:t>
      </w:r>
      <w:r>
        <w:rPr>
          <w:rFonts w:cs="Times New Roman"/>
          <w:kern w:val="0"/>
          <w:szCs w:val="24"/>
        </w:rPr>
        <w:t>1.30~19.20m</w:t>
      </w:r>
      <w:r>
        <w:rPr>
          <w:rFonts w:hint="eastAsia" w:ascii="宋体" w:cs="宋体"/>
          <w:kern w:val="0"/>
          <w:szCs w:val="24"/>
        </w:rPr>
        <w:t>，平均厚度</w:t>
      </w:r>
      <w:r>
        <w:rPr>
          <w:rFonts w:cs="Times New Roman"/>
          <w:kern w:val="0"/>
          <w:szCs w:val="24"/>
        </w:rPr>
        <w:t>5.73m</w:t>
      </w:r>
      <w:r>
        <w:rPr>
          <w:rFonts w:hint="eastAsia" w:ascii="宋体" w:cs="宋体"/>
          <w:kern w:val="0"/>
          <w:szCs w:val="24"/>
        </w:rPr>
        <w:t>。本层共进行标准贯入试验</w:t>
      </w:r>
      <w:r>
        <w:rPr>
          <w:rFonts w:cs="Times New Roman"/>
          <w:kern w:val="0"/>
          <w:szCs w:val="24"/>
        </w:rPr>
        <w:t xml:space="preserve">18 </w:t>
      </w:r>
      <w:r>
        <w:rPr>
          <w:rFonts w:hint="eastAsia" w:ascii="宋体" w:cs="宋体"/>
          <w:kern w:val="0"/>
          <w:szCs w:val="24"/>
        </w:rPr>
        <w:t>次，实测击数</w:t>
      </w:r>
      <w:r>
        <w:rPr>
          <w:rFonts w:cs="Times New Roman"/>
          <w:kern w:val="0"/>
          <w:szCs w:val="24"/>
        </w:rPr>
        <w:t xml:space="preserve">46~12 </w:t>
      </w:r>
      <w:r>
        <w:rPr>
          <w:rFonts w:hint="eastAsia" w:ascii="宋体" w:cs="宋体"/>
          <w:kern w:val="0"/>
          <w:szCs w:val="24"/>
        </w:rPr>
        <w:t>击，平均</w:t>
      </w:r>
      <w:r>
        <w:rPr>
          <w:rFonts w:cs="Times New Roman"/>
          <w:kern w:val="0"/>
          <w:szCs w:val="24"/>
        </w:rPr>
        <w:t xml:space="preserve">34.7 </w:t>
      </w:r>
      <w:r>
        <w:rPr>
          <w:rFonts w:hint="eastAsia" w:ascii="宋体" w:cs="宋体"/>
          <w:kern w:val="0"/>
          <w:szCs w:val="24"/>
        </w:rPr>
        <w:t>击，修正击数</w:t>
      </w:r>
      <w:r>
        <w:rPr>
          <w:rFonts w:cs="Times New Roman"/>
          <w:kern w:val="0"/>
          <w:szCs w:val="24"/>
        </w:rPr>
        <w:t xml:space="preserve">37~11.7 </w:t>
      </w:r>
      <w:r>
        <w:rPr>
          <w:rFonts w:hint="eastAsia" w:ascii="宋体" w:cs="宋体"/>
          <w:kern w:val="0"/>
          <w:szCs w:val="24"/>
        </w:rPr>
        <w:t>击，平均</w:t>
      </w:r>
      <w:r>
        <w:rPr>
          <w:rFonts w:cs="Times New Roman"/>
          <w:kern w:val="0"/>
          <w:szCs w:val="24"/>
        </w:rPr>
        <w:t xml:space="preserve">29.4 </w:t>
      </w:r>
      <w:r>
        <w:rPr>
          <w:rFonts w:hint="eastAsia" w:ascii="宋体" w:cs="宋体"/>
          <w:kern w:val="0"/>
          <w:szCs w:val="24"/>
        </w:rPr>
        <w:t>击。</w:t>
      </w:r>
    </w:p>
    <w:p w14:paraId="025E2408">
      <w:pPr>
        <w:autoSpaceDE w:val="0"/>
        <w:autoSpaceDN w:val="0"/>
        <w:adjustRightInd w:val="0"/>
        <w:ind w:firstLine="480"/>
        <w:jc w:val="left"/>
        <w:rPr>
          <w:rFonts w:ascii="宋体" w:cs="宋体"/>
          <w:kern w:val="0"/>
          <w:szCs w:val="24"/>
        </w:rPr>
      </w:pPr>
      <w:r>
        <w:rPr>
          <w:rFonts w:hint="eastAsia" w:ascii="宋体" w:cs="宋体"/>
          <w:kern w:val="0"/>
          <w:szCs w:val="24"/>
        </w:rPr>
        <w:t>建议承载力特征值经验值</w:t>
      </w:r>
      <w:r>
        <w:rPr>
          <w:rFonts w:cs="Times New Roman"/>
          <w:i/>
          <w:iCs/>
          <w:kern w:val="0"/>
          <w:szCs w:val="24"/>
        </w:rPr>
        <w:t>f</w:t>
      </w:r>
      <w:r>
        <w:rPr>
          <w:rFonts w:cs="Times New Roman"/>
          <w:kern w:val="0"/>
          <w:sz w:val="16"/>
          <w:szCs w:val="16"/>
        </w:rPr>
        <w:t>ak</w:t>
      </w:r>
      <w:r>
        <w:rPr>
          <w:rFonts w:cs="Times New Roman"/>
          <w:kern w:val="0"/>
          <w:szCs w:val="24"/>
        </w:rPr>
        <w:t>=250kPa</w:t>
      </w:r>
      <w:r>
        <w:rPr>
          <w:rFonts w:hint="eastAsia" w:ascii="宋体" w:cs="宋体"/>
          <w:kern w:val="0"/>
          <w:szCs w:val="24"/>
        </w:rPr>
        <w:t>。</w:t>
      </w:r>
    </w:p>
    <w:p w14:paraId="369C80DB">
      <w:pPr>
        <w:autoSpaceDE w:val="0"/>
        <w:autoSpaceDN w:val="0"/>
        <w:adjustRightInd w:val="0"/>
        <w:ind w:firstLine="480"/>
        <w:jc w:val="left"/>
        <w:rPr>
          <w:rFonts w:ascii="宋体" w:cs="宋体"/>
          <w:kern w:val="0"/>
          <w:szCs w:val="24"/>
        </w:rPr>
      </w:pPr>
      <w:r>
        <w:rPr>
          <w:rFonts w:hint="eastAsia" w:ascii="宋体" w:cs="宋体"/>
          <w:kern w:val="0"/>
          <w:szCs w:val="24"/>
        </w:rPr>
        <w:t>④</w:t>
      </w:r>
      <w:r>
        <w:rPr>
          <w:rFonts w:cs="Times New Roman"/>
          <w:kern w:val="0"/>
          <w:sz w:val="16"/>
          <w:szCs w:val="16"/>
        </w:rPr>
        <w:t xml:space="preserve">2 </w:t>
      </w:r>
      <w:r>
        <w:rPr>
          <w:rFonts w:hint="eastAsia" w:ascii="宋体" w:cs="宋体"/>
          <w:kern w:val="0"/>
          <w:szCs w:val="24"/>
        </w:rPr>
        <w:t>强风化砂岩：褐色、黄褐色，厚层状构造，中～细粒砂质结构，颗粒矿物成分主要是石英、长石等；岩体节理裂隙发育，裂隙面可见，上段部分岩芯以砂土状为主，下段岩芯以碎屑状、碎块状为主，局部呈短柱状，用手可折断，节长约</w:t>
      </w:r>
      <w:r>
        <w:rPr>
          <w:rFonts w:cs="Times New Roman"/>
          <w:kern w:val="0"/>
          <w:szCs w:val="24"/>
        </w:rPr>
        <w:t>5-15cm</w:t>
      </w:r>
      <w:r>
        <w:rPr>
          <w:rFonts w:hint="eastAsia" w:ascii="宋体" w:cs="宋体"/>
          <w:kern w:val="0"/>
          <w:szCs w:val="24"/>
        </w:rPr>
        <w:t>。层厚</w:t>
      </w:r>
      <w:r>
        <w:rPr>
          <w:rFonts w:cs="Times New Roman"/>
          <w:kern w:val="0"/>
          <w:szCs w:val="24"/>
        </w:rPr>
        <w:t>0.30~41.00m</w:t>
      </w:r>
      <w:r>
        <w:rPr>
          <w:rFonts w:hint="eastAsia" w:ascii="宋体" w:cs="宋体"/>
          <w:kern w:val="0"/>
          <w:szCs w:val="24"/>
        </w:rPr>
        <w:t>，平均厚度</w:t>
      </w:r>
      <w:r>
        <w:rPr>
          <w:rFonts w:cs="Times New Roman"/>
          <w:kern w:val="0"/>
          <w:szCs w:val="24"/>
        </w:rPr>
        <w:t>8.40m</w:t>
      </w:r>
      <w:r>
        <w:rPr>
          <w:rFonts w:hint="eastAsia" w:ascii="宋体" w:cs="宋体"/>
          <w:kern w:val="0"/>
          <w:szCs w:val="24"/>
        </w:rPr>
        <w:t>。本层共进行标准贯入试验</w:t>
      </w:r>
      <w:r>
        <w:rPr>
          <w:rFonts w:cs="Times New Roman"/>
          <w:kern w:val="0"/>
          <w:szCs w:val="24"/>
        </w:rPr>
        <w:t xml:space="preserve">26 </w:t>
      </w:r>
      <w:r>
        <w:rPr>
          <w:rFonts w:hint="eastAsia" w:ascii="宋体" w:cs="宋体"/>
          <w:kern w:val="0"/>
          <w:szCs w:val="24"/>
        </w:rPr>
        <w:t>次，实测击数</w:t>
      </w:r>
      <w:r>
        <w:rPr>
          <w:rFonts w:cs="Times New Roman"/>
          <w:kern w:val="0"/>
          <w:szCs w:val="24"/>
        </w:rPr>
        <w:t>110~53</w:t>
      </w:r>
      <w:r>
        <w:rPr>
          <w:rFonts w:hint="eastAsia" w:ascii="宋体" w:cs="宋体"/>
          <w:kern w:val="0"/>
          <w:szCs w:val="24"/>
        </w:rPr>
        <w:t>击，平均</w:t>
      </w:r>
      <w:r>
        <w:rPr>
          <w:rFonts w:cs="Times New Roman"/>
          <w:kern w:val="0"/>
          <w:szCs w:val="24"/>
        </w:rPr>
        <w:t xml:space="preserve">63.2 </w:t>
      </w:r>
      <w:r>
        <w:rPr>
          <w:rFonts w:hint="eastAsia" w:ascii="宋体" w:cs="宋体"/>
          <w:kern w:val="0"/>
          <w:szCs w:val="24"/>
        </w:rPr>
        <w:t>击，修正击数</w:t>
      </w:r>
      <w:r>
        <w:rPr>
          <w:rFonts w:cs="Times New Roman"/>
          <w:kern w:val="0"/>
          <w:szCs w:val="24"/>
        </w:rPr>
        <w:t xml:space="preserve">77~38.5 </w:t>
      </w:r>
      <w:r>
        <w:rPr>
          <w:rFonts w:hint="eastAsia" w:ascii="宋体" w:cs="宋体"/>
          <w:kern w:val="0"/>
          <w:szCs w:val="24"/>
        </w:rPr>
        <w:t>击，平均</w:t>
      </w:r>
      <w:r>
        <w:rPr>
          <w:rFonts w:cs="Times New Roman"/>
          <w:kern w:val="0"/>
          <w:szCs w:val="24"/>
        </w:rPr>
        <w:t xml:space="preserve">51.3 </w:t>
      </w:r>
      <w:r>
        <w:rPr>
          <w:rFonts w:hint="eastAsia" w:ascii="宋体" w:cs="宋体"/>
          <w:kern w:val="0"/>
          <w:szCs w:val="24"/>
        </w:rPr>
        <w:t>击。建议承载力特征值经验值</w:t>
      </w:r>
      <w:r>
        <w:rPr>
          <w:rFonts w:cs="Times New Roman"/>
          <w:i/>
          <w:iCs/>
          <w:kern w:val="0"/>
          <w:szCs w:val="24"/>
        </w:rPr>
        <w:t>f</w:t>
      </w:r>
      <w:r>
        <w:rPr>
          <w:rFonts w:cs="Times New Roman"/>
          <w:kern w:val="0"/>
          <w:sz w:val="16"/>
          <w:szCs w:val="16"/>
        </w:rPr>
        <w:t>ak</w:t>
      </w:r>
      <w:r>
        <w:rPr>
          <w:rFonts w:cs="Times New Roman"/>
          <w:kern w:val="0"/>
          <w:szCs w:val="24"/>
        </w:rPr>
        <w:t>=300kPa</w:t>
      </w:r>
      <w:r>
        <w:rPr>
          <w:rFonts w:hint="eastAsia" w:ascii="宋体" w:cs="宋体"/>
          <w:kern w:val="0"/>
          <w:szCs w:val="24"/>
        </w:rPr>
        <w:t>。</w:t>
      </w:r>
    </w:p>
    <w:p w14:paraId="2CB24286">
      <w:pPr>
        <w:autoSpaceDE w:val="0"/>
        <w:autoSpaceDN w:val="0"/>
        <w:adjustRightInd w:val="0"/>
        <w:ind w:firstLine="480"/>
        <w:jc w:val="left"/>
        <w:rPr>
          <w:rFonts w:ascii="宋体" w:cs="宋体"/>
          <w:kern w:val="0"/>
          <w:szCs w:val="24"/>
        </w:rPr>
      </w:pPr>
      <w:r>
        <w:rPr>
          <w:rFonts w:hint="eastAsia" w:ascii="宋体" w:cs="宋体"/>
          <w:kern w:val="0"/>
          <w:szCs w:val="24"/>
        </w:rPr>
        <w:t>④</w:t>
      </w:r>
      <w:r>
        <w:rPr>
          <w:rFonts w:cs="Times New Roman"/>
          <w:kern w:val="0"/>
          <w:sz w:val="16"/>
          <w:szCs w:val="16"/>
        </w:rPr>
        <w:t xml:space="preserve">3 </w:t>
      </w:r>
      <w:r>
        <w:rPr>
          <w:rFonts w:hint="eastAsia" w:ascii="宋体" w:cs="宋体"/>
          <w:kern w:val="0"/>
          <w:szCs w:val="24"/>
        </w:rPr>
        <w:t>中风化砂岩：红褐色、黄褐色，厚层状构造，中～细粒砂质结构，颗粒矿物成分主要是石英、长石等；岩体节理裂隙发育，岩质较新鲜，节理裂隙较发育，岩芯多呈短柱状及长柱状，局部呈块状，节长</w:t>
      </w:r>
      <w:r>
        <w:rPr>
          <w:rFonts w:cs="Times New Roman"/>
          <w:kern w:val="0"/>
          <w:szCs w:val="24"/>
        </w:rPr>
        <w:t>10-30cm</w:t>
      </w:r>
      <w:r>
        <w:rPr>
          <w:rFonts w:hint="eastAsia" w:ascii="宋体" w:cs="宋体"/>
          <w:kern w:val="0"/>
          <w:szCs w:val="24"/>
        </w:rPr>
        <w:t>。层厚</w:t>
      </w:r>
      <w:r>
        <w:rPr>
          <w:rFonts w:cs="Times New Roman"/>
          <w:kern w:val="0"/>
          <w:szCs w:val="24"/>
        </w:rPr>
        <w:t>1.50~16.40m</w:t>
      </w:r>
      <w:r>
        <w:rPr>
          <w:rFonts w:hint="eastAsia" w:ascii="宋体" w:cs="宋体"/>
          <w:kern w:val="0"/>
          <w:szCs w:val="24"/>
        </w:rPr>
        <w:t>，平均厚度</w:t>
      </w:r>
      <w:r>
        <w:rPr>
          <w:rFonts w:cs="Times New Roman"/>
          <w:kern w:val="0"/>
          <w:szCs w:val="24"/>
        </w:rPr>
        <w:t>5.78m</w:t>
      </w:r>
      <w:r>
        <w:rPr>
          <w:rFonts w:hint="eastAsia" w:ascii="宋体" w:cs="宋体"/>
          <w:kern w:val="0"/>
          <w:szCs w:val="24"/>
        </w:rPr>
        <w:t>。</w:t>
      </w:r>
    </w:p>
    <w:p w14:paraId="4DAECD65">
      <w:pPr>
        <w:autoSpaceDE w:val="0"/>
        <w:autoSpaceDN w:val="0"/>
        <w:adjustRightInd w:val="0"/>
        <w:ind w:firstLine="480"/>
        <w:jc w:val="left"/>
        <w:rPr>
          <w:rFonts w:ascii="宋体" w:cs="宋体"/>
          <w:kern w:val="0"/>
          <w:szCs w:val="24"/>
        </w:rPr>
      </w:pPr>
      <w:r>
        <w:rPr>
          <w:rFonts w:hint="eastAsia" w:ascii="宋体" w:cs="宋体"/>
          <w:kern w:val="0"/>
          <w:szCs w:val="24"/>
        </w:rPr>
        <w:t>本层取岩样</w:t>
      </w:r>
      <w:r>
        <w:rPr>
          <w:rFonts w:cs="Times New Roman"/>
          <w:kern w:val="0"/>
          <w:szCs w:val="24"/>
        </w:rPr>
        <w:t xml:space="preserve">6 </w:t>
      </w:r>
      <w:r>
        <w:rPr>
          <w:rFonts w:hint="eastAsia" w:ascii="宋体" w:cs="宋体"/>
          <w:kern w:val="0"/>
          <w:szCs w:val="24"/>
        </w:rPr>
        <w:t>组，进行天然状态单轴抗压强度试验，抗压强度为</w:t>
      </w:r>
      <w:r>
        <w:rPr>
          <w:rFonts w:cs="Times New Roman"/>
          <w:kern w:val="0"/>
          <w:szCs w:val="24"/>
        </w:rPr>
        <w:t>6.31~26.4</w:t>
      </w:r>
      <w:r>
        <w:rPr>
          <w:rFonts w:cs="Times New Roman"/>
          <w:i/>
          <w:iCs/>
          <w:kern w:val="0"/>
          <w:szCs w:val="24"/>
        </w:rPr>
        <w:t>Mpa</w:t>
      </w:r>
      <w:r>
        <w:rPr>
          <w:rFonts w:hint="eastAsia" w:ascii="宋体" w:cs="宋体"/>
          <w:kern w:val="0"/>
          <w:szCs w:val="24"/>
        </w:rPr>
        <w:t>，平均值</w:t>
      </w:r>
      <w:r>
        <w:rPr>
          <w:rFonts w:cs="Times New Roman"/>
          <w:kern w:val="0"/>
          <w:szCs w:val="24"/>
        </w:rPr>
        <w:t>11.5</w:t>
      </w:r>
      <w:r>
        <w:rPr>
          <w:rFonts w:cs="Times New Roman"/>
          <w:i/>
          <w:iCs/>
          <w:kern w:val="0"/>
          <w:szCs w:val="24"/>
        </w:rPr>
        <w:t>Mpa</w:t>
      </w:r>
      <w:r>
        <w:rPr>
          <w:rFonts w:hint="eastAsia" w:ascii="宋体" w:cs="宋体"/>
          <w:kern w:val="0"/>
          <w:szCs w:val="24"/>
        </w:rPr>
        <w:t>，标准值</w:t>
      </w:r>
      <w:r>
        <w:rPr>
          <w:rFonts w:cs="Times New Roman"/>
          <w:kern w:val="0"/>
          <w:szCs w:val="24"/>
        </w:rPr>
        <w:t>5.32</w:t>
      </w:r>
      <w:r>
        <w:rPr>
          <w:rFonts w:cs="Times New Roman"/>
          <w:i/>
          <w:iCs/>
          <w:kern w:val="0"/>
          <w:szCs w:val="24"/>
        </w:rPr>
        <w:t>Mpa</w:t>
      </w:r>
      <w:r>
        <w:rPr>
          <w:rFonts w:hint="eastAsia" w:ascii="宋体" w:cs="宋体"/>
          <w:kern w:val="0"/>
          <w:sz w:val="28"/>
          <w:szCs w:val="28"/>
        </w:rPr>
        <w:t>，</w:t>
      </w:r>
      <w:r>
        <w:rPr>
          <w:rFonts w:hint="eastAsia" w:ascii="宋体" w:cs="宋体"/>
          <w:kern w:val="0"/>
          <w:szCs w:val="24"/>
        </w:rPr>
        <w:t>属于软岩，岩体较破碎</w:t>
      </w:r>
      <w:r>
        <w:rPr>
          <w:rFonts w:cs="Times New Roman"/>
          <w:kern w:val="0"/>
          <w:szCs w:val="24"/>
        </w:rPr>
        <w:t>~</w:t>
      </w:r>
      <w:r>
        <w:rPr>
          <w:rFonts w:hint="eastAsia" w:ascii="宋体" w:cs="宋体"/>
          <w:kern w:val="0"/>
          <w:szCs w:val="24"/>
        </w:rPr>
        <w:t>较完整，岩体基本质量等级为Ⅳ</w:t>
      </w:r>
      <w:r>
        <w:rPr>
          <w:rFonts w:cs="Times New Roman"/>
          <w:kern w:val="0"/>
          <w:szCs w:val="24"/>
        </w:rPr>
        <w:t>~</w:t>
      </w:r>
      <w:r>
        <w:rPr>
          <w:rFonts w:hint="eastAsia" w:ascii="宋体" w:cs="宋体"/>
          <w:kern w:val="0"/>
          <w:szCs w:val="24"/>
        </w:rPr>
        <w:t>Ⅴ类。建议承载力特征值经验值</w:t>
      </w:r>
      <w:r>
        <w:rPr>
          <w:rFonts w:cs="Times New Roman"/>
          <w:i/>
          <w:iCs/>
          <w:kern w:val="0"/>
          <w:szCs w:val="24"/>
        </w:rPr>
        <w:t>f</w:t>
      </w:r>
      <w:r>
        <w:rPr>
          <w:rFonts w:cs="Times New Roman"/>
          <w:kern w:val="0"/>
          <w:sz w:val="16"/>
          <w:szCs w:val="16"/>
        </w:rPr>
        <w:t>a</w:t>
      </w:r>
      <w:r>
        <w:rPr>
          <w:rFonts w:cs="Times New Roman"/>
          <w:kern w:val="0"/>
          <w:szCs w:val="24"/>
        </w:rPr>
        <w:t>=1500kPa</w:t>
      </w:r>
      <w:r>
        <w:rPr>
          <w:rFonts w:hint="eastAsia" w:ascii="宋体" w:cs="宋体"/>
          <w:kern w:val="0"/>
          <w:szCs w:val="24"/>
        </w:rPr>
        <w:t>。</w:t>
      </w:r>
    </w:p>
    <w:p w14:paraId="460A76CE">
      <w:pPr>
        <w:autoSpaceDE w:val="0"/>
        <w:autoSpaceDN w:val="0"/>
        <w:adjustRightInd w:val="0"/>
        <w:ind w:firstLine="480"/>
        <w:jc w:val="left"/>
        <w:rPr>
          <w:rFonts w:ascii="宋体" w:cs="宋体"/>
          <w:kern w:val="0"/>
          <w:szCs w:val="24"/>
        </w:rPr>
      </w:pPr>
      <w:r>
        <w:rPr>
          <w:rFonts w:cs="Times New Roman"/>
          <w:kern w:val="0"/>
          <w:szCs w:val="24"/>
        </w:rPr>
        <w:t xml:space="preserve">3.2.5 </w:t>
      </w:r>
      <w:r>
        <w:rPr>
          <w:rFonts w:hint="eastAsia" w:ascii="宋体" w:cs="宋体"/>
          <w:kern w:val="0"/>
          <w:szCs w:val="24"/>
        </w:rPr>
        <w:t>石炭系炭质页岩（</w:t>
      </w:r>
      <w:r>
        <w:rPr>
          <w:rFonts w:cs="Times New Roman"/>
          <w:kern w:val="0"/>
          <w:szCs w:val="24"/>
        </w:rPr>
        <w:t>C</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⑤</w:t>
      </w:r>
      <w:r>
        <w:rPr>
          <w:rFonts w:cs="Times New Roman"/>
          <w:kern w:val="0"/>
          <w:szCs w:val="24"/>
        </w:rPr>
        <w:t>&gt;</w:t>
      </w:r>
      <w:r>
        <w:rPr>
          <w:rFonts w:hint="eastAsia" w:ascii="宋体" w:cs="宋体"/>
          <w:kern w:val="0"/>
          <w:szCs w:val="24"/>
        </w:rPr>
        <w:t>：</w:t>
      </w:r>
    </w:p>
    <w:p w14:paraId="1A7C91E2">
      <w:pPr>
        <w:autoSpaceDE w:val="0"/>
        <w:autoSpaceDN w:val="0"/>
        <w:adjustRightInd w:val="0"/>
        <w:ind w:firstLine="480"/>
        <w:jc w:val="left"/>
        <w:rPr>
          <w:rFonts w:ascii="宋体" w:cs="宋体"/>
          <w:kern w:val="0"/>
          <w:szCs w:val="24"/>
        </w:rPr>
      </w:pPr>
      <w:r>
        <w:rPr>
          <w:rFonts w:hint="eastAsia" w:ascii="宋体" w:cs="宋体"/>
          <w:kern w:val="0"/>
          <w:szCs w:val="24"/>
        </w:rPr>
        <w:t>⑤</w:t>
      </w:r>
      <w:r>
        <w:rPr>
          <w:rFonts w:cs="Times New Roman"/>
          <w:kern w:val="0"/>
          <w:sz w:val="16"/>
          <w:szCs w:val="16"/>
        </w:rPr>
        <w:t xml:space="preserve">1 </w:t>
      </w:r>
      <w:r>
        <w:rPr>
          <w:rFonts w:hint="eastAsia" w:ascii="宋体" w:cs="宋体"/>
          <w:kern w:val="0"/>
          <w:szCs w:val="24"/>
        </w:rPr>
        <w:t>强风化炭质页岩：浅灰色、灰黑色，薄层状及片状构造，泥质结构，岩体节理裂隙发育，经机械破碎呈碎块状及岩夹土状，锤击易碎，手可掰断，可污手，节长一般</w:t>
      </w:r>
      <w:r>
        <w:rPr>
          <w:rFonts w:cs="Times New Roman"/>
          <w:kern w:val="0"/>
          <w:szCs w:val="24"/>
        </w:rPr>
        <w:t>2-10cm</w:t>
      </w:r>
      <w:r>
        <w:rPr>
          <w:rFonts w:hint="eastAsia" w:ascii="宋体" w:cs="宋体"/>
          <w:kern w:val="0"/>
          <w:szCs w:val="24"/>
        </w:rPr>
        <w:t>，最大达</w:t>
      </w:r>
      <w:r>
        <w:rPr>
          <w:rFonts w:cs="Times New Roman"/>
          <w:kern w:val="0"/>
          <w:szCs w:val="24"/>
        </w:rPr>
        <w:t>20cm</w:t>
      </w:r>
      <w:r>
        <w:rPr>
          <w:rFonts w:hint="eastAsia" w:ascii="宋体" w:cs="宋体"/>
          <w:kern w:val="0"/>
          <w:szCs w:val="24"/>
        </w:rPr>
        <w:t>，局部夹中风化炭质页岩。层厚</w:t>
      </w:r>
      <w:r>
        <w:rPr>
          <w:rFonts w:cs="Times New Roman"/>
          <w:kern w:val="0"/>
          <w:szCs w:val="24"/>
        </w:rPr>
        <w:t>0.50~38.00m</w:t>
      </w:r>
      <w:r>
        <w:rPr>
          <w:rFonts w:hint="eastAsia" w:ascii="宋体" w:cs="宋体"/>
          <w:kern w:val="0"/>
          <w:szCs w:val="24"/>
        </w:rPr>
        <w:t>，平均厚度</w:t>
      </w:r>
      <w:r>
        <w:rPr>
          <w:rFonts w:cs="Times New Roman"/>
          <w:kern w:val="0"/>
          <w:szCs w:val="24"/>
        </w:rPr>
        <w:t>8.34m</w:t>
      </w:r>
      <w:r>
        <w:rPr>
          <w:rFonts w:hint="eastAsia" w:ascii="宋体" w:cs="宋体"/>
          <w:kern w:val="0"/>
          <w:szCs w:val="24"/>
        </w:rPr>
        <w:t>。本层共进行标准贯入试验</w:t>
      </w:r>
      <w:r>
        <w:rPr>
          <w:rFonts w:cs="Times New Roman"/>
          <w:kern w:val="0"/>
          <w:szCs w:val="24"/>
        </w:rPr>
        <w:t xml:space="preserve">26 </w:t>
      </w:r>
      <w:r>
        <w:rPr>
          <w:rFonts w:hint="eastAsia" w:ascii="宋体" w:cs="宋体"/>
          <w:kern w:val="0"/>
          <w:szCs w:val="24"/>
        </w:rPr>
        <w:t>次，实测击数</w:t>
      </w:r>
      <w:r>
        <w:rPr>
          <w:rFonts w:cs="Times New Roman"/>
          <w:kern w:val="0"/>
          <w:szCs w:val="24"/>
        </w:rPr>
        <w:t xml:space="preserve">82~52 </w:t>
      </w:r>
      <w:r>
        <w:rPr>
          <w:rFonts w:hint="eastAsia" w:ascii="宋体" w:cs="宋体"/>
          <w:kern w:val="0"/>
          <w:szCs w:val="24"/>
        </w:rPr>
        <w:t>击，平均</w:t>
      </w:r>
      <w:r>
        <w:rPr>
          <w:rFonts w:cs="Times New Roman"/>
          <w:kern w:val="0"/>
          <w:szCs w:val="24"/>
        </w:rPr>
        <w:t xml:space="preserve">65.2 </w:t>
      </w:r>
      <w:r>
        <w:rPr>
          <w:rFonts w:hint="eastAsia" w:ascii="宋体" w:cs="宋体"/>
          <w:kern w:val="0"/>
          <w:szCs w:val="24"/>
        </w:rPr>
        <w:t>击，修正击数</w:t>
      </w:r>
      <w:r>
        <w:rPr>
          <w:rFonts w:cs="Times New Roman"/>
          <w:kern w:val="0"/>
          <w:szCs w:val="24"/>
        </w:rPr>
        <w:t xml:space="preserve">69.4~37.6 </w:t>
      </w:r>
      <w:r>
        <w:rPr>
          <w:rFonts w:hint="eastAsia" w:ascii="宋体" w:cs="宋体"/>
          <w:kern w:val="0"/>
          <w:szCs w:val="24"/>
        </w:rPr>
        <w:t>击，平均</w:t>
      </w:r>
      <w:r>
        <w:rPr>
          <w:rFonts w:cs="Times New Roman"/>
          <w:kern w:val="0"/>
          <w:szCs w:val="24"/>
        </w:rPr>
        <w:t xml:space="preserve">51.2 </w:t>
      </w:r>
      <w:r>
        <w:rPr>
          <w:rFonts w:hint="eastAsia" w:ascii="宋体" w:cs="宋体"/>
          <w:kern w:val="0"/>
          <w:szCs w:val="24"/>
        </w:rPr>
        <w:t>击。</w:t>
      </w:r>
    </w:p>
    <w:p w14:paraId="37F544CC">
      <w:pPr>
        <w:autoSpaceDE w:val="0"/>
        <w:autoSpaceDN w:val="0"/>
        <w:adjustRightInd w:val="0"/>
        <w:ind w:firstLine="480"/>
        <w:jc w:val="left"/>
        <w:rPr>
          <w:rFonts w:ascii="宋体" w:cs="宋体"/>
          <w:kern w:val="0"/>
          <w:szCs w:val="24"/>
        </w:rPr>
      </w:pPr>
      <w:r>
        <w:rPr>
          <w:rFonts w:hint="eastAsia" w:ascii="宋体" w:cs="宋体"/>
          <w:kern w:val="0"/>
          <w:szCs w:val="24"/>
        </w:rPr>
        <w:t>本层取碎块状岩样</w:t>
      </w:r>
      <w:r>
        <w:rPr>
          <w:rFonts w:cs="Times New Roman"/>
          <w:kern w:val="0"/>
          <w:szCs w:val="24"/>
        </w:rPr>
        <w:t xml:space="preserve">6 </w:t>
      </w:r>
      <w:r>
        <w:rPr>
          <w:rFonts w:hint="eastAsia" w:ascii="宋体" w:cs="宋体"/>
          <w:kern w:val="0"/>
          <w:szCs w:val="24"/>
        </w:rPr>
        <w:t>组，进行点载荷试验，根据《工程岩体分级标准》</w:t>
      </w:r>
      <w:r>
        <w:rPr>
          <w:rFonts w:cs="Times New Roman"/>
          <w:kern w:val="0"/>
          <w:szCs w:val="24"/>
        </w:rPr>
        <w:t xml:space="preserve">3.3-1 </w:t>
      </w:r>
      <w:r>
        <w:rPr>
          <w:rFonts w:hint="eastAsia" w:ascii="宋体" w:cs="宋体"/>
          <w:kern w:val="0"/>
          <w:szCs w:val="24"/>
        </w:rPr>
        <w:t>式换算得到天然状态单轴抗压强度，抗压强度为</w:t>
      </w:r>
      <w:r>
        <w:rPr>
          <w:rFonts w:cs="Times New Roman"/>
          <w:kern w:val="0"/>
          <w:szCs w:val="24"/>
        </w:rPr>
        <w:t>1.30~1.81</w:t>
      </w:r>
      <w:r>
        <w:rPr>
          <w:rFonts w:cs="Times New Roman"/>
          <w:i/>
          <w:iCs/>
          <w:kern w:val="0"/>
          <w:szCs w:val="24"/>
        </w:rPr>
        <w:t>Mpa</w:t>
      </w:r>
      <w:r>
        <w:rPr>
          <w:rFonts w:hint="eastAsia" w:ascii="宋体" w:cs="宋体"/>
          <w:kern w:val="0"/>
          <w:szCs w:val="24"/>
        </w:rPr>
        <w:t>，平均值</w:t>
      </w:r>
      <w:r>
        <w:rPr>
          <w:rFonts w:cs="Times New Roman"/>
          <w:kern w:val="0"/>
          <w:szCs w:val="24"/>
        </w:rPr>
        <w:t>1.53</w:t>
      </w:r>
      <w:r>
        <w:rPr>
          <w:rFonts w:cs="Times New Roman"/>
          <w:i/>
          <w:iCs/>
          <w:kern w:val="0"/>
          <w:szCs w:val="24"/>
        </w:rPr>
        <w:t>Mpa</w:t>
      </w:r>
      <w:r>
        <w:rPr>
          <w:rFonts w:hint="eastAsia" w:ascii="宋体" w:cs="宋体"/>
          <w:kern w:val="0"/>
          <w:szCs w:val="24"/>
        </w:rPr>
        <w:t>，标准值</w:t>
      </w:r>
      <w:r>
        <w:rPr>
          <w:rFonts w:cs="Times New Roman"/>
          <w:kern w:val="0"/>
          <w:szCs w:val="24"/>
        </w:rPr>
        <w:t>1.36</w:t>
      </w:r>
      <w:r>
        <w:rPr>
          <w:rFonts w:cs="Times New Roman"/>
          <w:i/>
          <w:iCs/>
          <w:kern w:val="0"/>
          <w:szCs w:val="24"/>
        </w:rPr>
        <w:t>Mpa</w:t>
      </w:r>
      <w:r>
        <w:rPr>
          <w:rFonts w:hint="eastAsia" w:ascii="宋体" w:cs="宋体"/>
          <w:kern w:val="0"/>
          <w:sz w:val="28"/>
          <w:szCs w:val="28"/>
        </w:rPr>
        <w:t>，</w:t>
      </w:r>
      <w:r>
        <w:rPr>
          <w:rFonts w:hint="eastAsia" w:ascii="宋体" w:cs="宋体"/>
          <w:kern w:val="0"/>
          <w:szCs w:val="24"/>
        </w:rPr>
        <w:t>属于极软岩，岩体破碎，岩体基本质量等级为Ⅴ类。建议承载力特征值经验值</w:t>
      </w:r>
      <w:r>
        <w:rPr>
          <w:rFonts w:cs="Times New Roman"/>
          <w:i/>
          <w:iCs/>
          <w:kern w:val="0"/>
          <w:szCs w:val="24"/>
        </w:rPr>
        <w:t>f</w:t>
      </w:r>
      <w:r>
        <w:rPr>
          <w:rFonts w:cs="Times New Roman"/>
          <w:kern w:val="0"/>
          <w:sz w:val="16"/>
          <w:szCs w:val="16"/>
        </w:rPr>
        <w:t>a</w:t>
      </w:r>
      <w:r>
        <w:rPr>
          <w:rFonts w:cs="Times New Roman"/>
          <w:kern w:val="0"/>
          <w:szCs w:val="24"/>
        </w:rPr>
        <w:t>=350kPa</w:t>
      </w:r>
      <w:r>
        <w:rPr>
          <w:rFonts w:hint="eastAsia" w:ascii="宋体" w:cs="宋体"/>
          <w:kern w:val="0"/>
          <w:szCs w:val="24"/>
        </w:rPr>
        <w:t>。</w:t>
      </w:r>
    </w:p>
    <w:p w14:paraId="575D1AB4">
      <w:pPr>
        <w:autoSpaceDE w:val="0"/>
        <w:autoSpaceDN w:val="0"/>
        <w:adjustRightInd w:val="0"/>
        <w:ind w:firstLine="480"/>
        <w:jc w:val="left"/>
        <w:rPr>
          <w:rFonts w:ascii="宋体" w:cs="宋体"/>
          <w:kern w:val="0"/>
          <w:szCs w:val="24"/>
        </w:rPr>
      </w:pPr>
      <w:r>
        <w:rPr>
          <w:rFonts w:hint="eastAsia" w:ascii="宋体" w:cs="宋体"/>
          <w:kern w:val="0"/>
          <w:szCs w:val="24"/>
        </w:rPr>
        <w:t>⑤</w:t>
      </w:r>
      <w:r>
        <w:rPr>
          <w:rFonts w:cs="Times New Roman"/>
          <w:kern w:val="0"/>
          <w:sz w:val="16"/>
          <w:szCs w:val="16"/>
        </w:rPr>
        <w:t xml:space="preserve">2 </w:t>
      </w:r>
      <w:r>
        <w:rPr>
          <w:rFonts w:hint="eastAsia" w:ascii="宋体" w:cs="宋体"/>
          <w:kern w:val="0"/>
          <w:szCs w:val="24"/>
        </w:rPr>
        <w:t>中风化炭质页岩：浅灰色、灰黑色，薄层状及片状构造，泥质结构，裂隙较发育，岩芯较破碎</w:t>
      </w:r>
      <w:r>
        <w:rPr>
          <w:rFonts w:cs="Times New Roman"/>
          <w:kern w:val="0"/>
          <w:szCs w:val="24"/>
        </w:rPr>
        <w:t>-</w:t>
      </w:r>
      <w:r>
        <w:rPr>
          <w:rFonts w:hint="eastAsia" w:ascii="宋体" w:cs="宋体"/>
          <w:kern w:val="0"/>
          <w:szCs w:val="24"/>
        </w:rPr>
        <w:t>较完整，岩质较软，锤击声哑，可污手，以短柱状、柱状为主，块状、片状为次，节长</w:t>
      </w:r>
      <w:r>
        <w:rPr>
          <w:rFonts w:cs="Times New Roman"/>
          <w:kern w:val="0"/>
          <w:szCs w:val="24"/>
        </w:rPr>
        <w:t>10-20cm</w:t>
      </w:r>
      <w:r>
        <w:rPr>
          <w:rFonts w:hint="eastAsia" w:ascii="宋体" w:cs="宋体"/>
          <w:kern w:val="0"/>
          <w:szCs w:val="24"/>
        </w:rPr>
        <w:t>，最长</w:t>
      </w:r>
      <w:r>
        <w:rPr>
          <w:rFonts w:cs="Times New Roman"/>
          <w:kern w:val="0"/>
          <w:szCs w:val="24"/>
        </w:rPr>
        <w:t>40cm</w:t>
      </w:r>
      <w:r>
        <w:rPr>
          <w:rFonts w:hint="eastAsia" w:ascii="宋体" w:cs="宋体"/>
          <w:kern w:val="0"/>
          <w:szCs w:val="24"/>
        </w:rPr>
        <w:t>。层厚</w:t>
      </w:r>
      <w:r>
        <w:rPr>
          <w:rFonts w:cs="Times New Roman"/>
          <w:kern w:val="0"/>
          <w:szCs w:val="24"/>
        </w:rPr>
        <w:t>0.20~27.00m</w:t>
      </w:r>
      <w:r>
        <w:rPr>
          <w:rFonts w:hint="eastAsia" w:ascii="宋体" w:cs="宋体"/>
          <w:kern w:val="0"/>
          <w:szCs w:val="24"/>
        </w:rPr>
        <w:t>，平均厚度</w:t>
      </w:r>
      <w:r>
        <w:rPr>
          <w:rFonts w:cs="Times New Roman"/>
          <w:kern w:val="0"/>
          <w:szCs w:val="24"/>
        </w:rPr>
        <w:t>6.65m</w:t>
      </w:r>
      <w:r>
        <w:rPr>
          <w:rFonts w:hint="eastAsia" w:ascii="宋体" w:cs="宋体"/>
          <w:kern w:val="0"/>
          <w:szCs w:val="24"/>
        </w:rPr>
        <w:t>。</w:t>
      </w:r>
    </w:p>
    <w:p w14:paraId="29D64801">
      <w:pPr>
        <w:autoSpaceDE w:val="0"/>
        <w:autoSpaceDN w:val="0"/>
        <w:adjustRightInd w:val="0"/>
        <w:ind w:firstLine="480"/>
        <w:jc w:val="left"/>
        <w:rPr>
          <w:rFonts w:ascii="宋体" w:cs="宋体"/>
          <w:kern w:val="0"/>
          <w:szCs w:val="24"/>
        </w:rPr>
      </w:pPr>
      <w:r>
        <w:rPr>
          <w:rFonts w:hint="eastAsia" w:ascii="宋体" w:cs="宋体"/>
          <w:kern w:val="0"/>
          <w:szCs w:val="24"/>
        </w:rPr>
        <w:t>本层取岩样</w:t>
      </w:r>
      <w:r>
        <w:rPr>
          <w:rFonts w:cs="Times New Roman"/>
          <w:kern w:val="0"/>
          <w:szCs w:val="24"/>
        </w:rPr>
        <w:t xml:space="preserve">9 </w:t>
      </w:r>
      <w:r>
        <w:rPr>
          <w:rFonts w:hint="eastAsia" w:ascii="宋体" w:cs="宋体"/>
          <w:kern w:val="0"/>
          <w:szCs w:val="24"/>
        </w:rPr>
        <w:t>组，进行天然状态单轴抗压强度试验，抗压强度为</w:t>
      </w:r>
      <w:r>
        <w:rPr>
          <w:rFonts w:cs="Times New Roman"/>
          <w:kern w:val="0"/>
          <w:szCs w:val="24"/>
        </w:rPr>
        <w:t>5.35~38.0</w:t>
      </w:r>
      <w:r>
        <w:rPr>
          <w:rFonts w:cs="Times New Roman"/>
          <w:i/>
          <w:iCs/>
          <w:kern w:val="0"/>
          <w:szCs w:val="24"/>
        </w:rPr>
        <w:t>Mpa</w:t>
      </w:r>
      <w:r>
        <w:rPr>
          <w:rFonts w:hint="eastAsia" w:ascii="宋体" w:cs="宋体"/>
          <w:kern w:val="0"/>
          <w:szCs w:val="24"/>
        </w:rPr>
        <w:t>，平均值</w:t>
      </w:r>
      <w:r>
        <w:rPr>
          <w:rFonts w:cs="Times New Roman"/>
          <w:kern w:val="0"/>
          <w:szCs w:val="24"/>
        </w:rPr>
        <w:t>19.76</w:t>
      </w:r>
      <w:r>
        <w:rPr>
          <w:rFonts w:cs="Times New Roman"/>
          <w:i/>
          <w:iCs/>
          <w:kern w:val="0"/>
          <w:szCs w:val="24"/>
        </w:rPr>
        <w:t>Mpa</w:t>
      </w:r>
      <w:r>
        <w:rPr>
          <w:rFonts w:hint="eastAsia" w:ascii="宋体" w:cs="宋体"/>
          <w:kern w:val="0"/>
          <w:szCs w:val="24"/>
        </w:rPr>
        <w:t>，标准值</w:t>
      </w:r>
      <w:r>
        <w:rPr>
          <w:rFonts w:cs="Times New Roman"/>
          <w:kern w:val="0"/>
          <w:szCs w:val="24"/>
        </w:rPr>
        <w:t>11.57</w:t>
      </w:r>
      <w:r>
        <w:rPr>
          <w:rFonts w:cs="Times New Roman"/>
          <w:i/>
          <w:iCs/>
          <w:kern w:val="0"/>
          <w:szCs w:val="24"/>
        </w:rPr>
        <w:t>Mpa</w:t>
      </w:r>
      <w:r>
        <w:rPr>
          <w:rFonts w:hint="eastAsia" w:ascii="宋体" w:cs="宋体"/>
          <w:kern w:val="0"/>
          <w:sz w:val="28"/>
          <w:szCs w:val="28"/>
        </w:rPr>
        <w:t>，</w:t>
      </w:r>
      <w:r>
        <w:rPr>
          <w:rFonts w:hint="eastAsia" w:ascii="宋体" w:cs="宋体"/>
          <w:kern w:val="0"/>
          <w:szCs w:val="24"/>
        </w:rPr>
        <w:t>属于软岩，岩体较破碎</w:t>
      </w:r>
      <w:r>
        <w:rPr>
          <w:rFonts w:cs="Times New Roman"/>
          <w:kern w:val="0"/>
          <w:szCs w:val="24"/>
        </w:rPr>
        <w:t>~</w:t>
      </w:r>
      <w:r>
        <w:rPr>
          <w:rFonts w:hint="eastAsia" w:ascii="宋体" w:cs="宋体"/>
          <w:kern w:val="0"/>
          <w:szCs w:val="24"/>
        </w:rPr>
        <w:t>较完整，岩体基本质量等级为Ⅳ</w:t>
      </w:r>
      <w:r>
        <w:rPr>
          <w:rFonts w:cs="Times New Roman"/>
          <w:kern w:val="0"/>
          <w:szCs w:val="24"/>
        </w:rPr>
        <w:t>~</w:t>
      </w:r>
      <w:r>
        <w:rPr>
          <w:rFonts w:hint="eastAsia" w:ascii="宋体" w:cs="宋体"/>
          <w:kern w:val="0"/>
          <w:szCs w:val="24"/>
        </w:rPr>
        <w:t>Ⅴ类。建议承载力特征值经验值</w:t>
      </w:r>
      <w:r>
        <w:rPr>
          <w:rFonts w:cs="Times New Roman"/>
          <w:i/>
          <w:iCs/>
          <w:kern w:val="0"/>
          <w:szCs w:val="24"/>
        </w:rPr>
        <w:t>f</w:t>
      </w:r>
      <w:r>
        <w:rPr>
          <w:rFonts w:cs="Times New Roman"/>
          <w:kern w:val="0"/>
          <w:sz w:val="16"/>
          <w:szCs w:val="16"/>
        </w:rPr>
        <w:t>a</w:t>
      </w:r>
      <w:r>
        <w:rPr>
          <w:rFonts w:cs="Times New Roman"/>
          <w:kern w:val="0"/>
          <w:szCs w:val="24"/>
        </w:rPr>
        <w:t>=1800kPa</w:t>
      </w:r>
      <w:r>
        <w:rPr>
          <w:rFonts w:hint="eastAsia" w:ascii="宋体" w:cs="宋体"/>
          <w:kern w:val="0"/>
          <w:szCs w:val="24"/>
        </w:rPr>
        <w:t>。</w:t>
      </w:r>
    </w:p>
    <w:p w14:paraId="1C951553">
      <w:pPr>
        <w:autoSpaceDE w:val="0"/>
        <w:autoSpaceDN w:val="0"/>
        <w:adjustRightInd w:val="0"/>
        <w:ind w:firstLine="480"/>
        <w:jc w:val="left"/>
        <w:rPr>
          <w:rFonts w:ascii="宋体" w:cs="宋体"/>
          <w:kern w:val="0"/>
          <w:szCs w:val="24"/>
        </w:rPr>
      </w:pPr>
      <w:r>
        <w:rPr>
          <w:rFonts w:cs="Times New Roman"/>
          <w:kern w:val="0"/>
          <w:szCs w:val="24"/>
        </w:rPr>
        <w:t xml:space="preserve">3.2.6 </w:t>
      </w:r>
      <w:r>
        <w:rPr>
          <w:rFonts w:hint="eastAsia" w:ascii="宋体" w:cs="宋体"/>
          <w:kern w:val="0"/>
          <w:szCs w:val="24"/>
        </w:rPr>
        <w:t>石炭系炭质灰岩（</w:t>
      </w:r>
      <w:r>
        <w:rPr>
          <w:rFonts w:cs="Times New Roman"/>
          <w:kern w:val="0"/>
          <w:szCs w:val="24"/>
        </w:rPr>
        <w:t>C</w:t>
      </w:r>
      <w:r>
        <w:rPr>
          <w:rFonts w:hint="eastAsia" w:ascii="宋体" w:cs="宋体"/>
          <w:kern w:val="0"/>
          <w:szCs w:val="24"/>
        </w:rPr>
        <w:t>），图件和附表代号为</w:t>
      </w:r>
      <w:r>
        <w:rPr>
          <w:rFonts w:cs="Times New Roman"/>
          <w:kern w:val="0"/>
          <w:szCs w:val="24"/>
        </w:rPr>
        <w:t>&lt;</w:t>
      </w:r>
      <w:r>
        <w:rPr>
          <w:rFonts w:hint="eastAsia" w:ascii="宋体" w:cs="宋体"/>
          <w:kern w:val="0"/>
          <w:szCs w:val="24"/>
        </w:rPr>
        <w:t>⑥</w:t>
      </w:r>
      <w:r>
        <w:rPr>
          <w:rFonts w:cs="Times New Roman"/>
          <w:kern w:val="0"/>
          <w:szCs w:val="24"/>
        </w:rPr>
        <w:t>&gt;</w:t>
      </w:r>
      <w:r>
        <w:rPr>
          <w:rFonts w:hint="eastAsia" w:ascii="宋体" w:cs="宋体"/>
          <w:kern w:val="0"/>
          <w:szCs w:val="24"/>
        </w:rPr>
        <w:t>：</w:t>
      </w:r>
    </w:p>
    <w:p w14:paraId="1E5FC528">
      <w:pPr>
        <w:autoSpaceDE w:val="0"/>
        <w:autoSpaceDN w:val="0"/>
        <w:adjustRightInd w:val="0"/>
        <w:ind w:firstLine="480"/>
        <w:jc w:val="left"/>
        <w:rPr>
          <w:rFonts w:ascii="宋体" w:cs="宋体"/>
          <w:kern w:val="0"/>
          <w:szCs w:val="24"/>
        </w:rPr>
      </w:pPr>
      <w:r>
        <w:rPr>
          <w:rFonts w:hint="eastAsia" w:ascii="宋体" w:cs="宋体"/>
          <w:kern w:val="0"/>
          <w:szCs w:val="24"/>
        </w:rPr>
        <w:t>⑥</w:t>
      </w:r>
      <w:r>
        <w:rPr>
          <w:rFonts w:cs="Times New Roman"/>
          <w:kern w:val="0"/>
          <w:sz w:val="16"/>
          <w:szCs w:val="16"/>
        </w:rPr>
        <w:t xml:space="preserve">1 </w:t>
      </w:r>
      <w:r>
        <w:rPr>
          <w:rFonts w:hint="eastAsia" w:ascii="宋体" w:cs="宋体"/>
          <w:kern w:val="0"/>
          <w:szCs w:val="24"/>
        </w:rPr>
        <w:t>微风化炭质灰岩：灰色，隐晶质结构，层状构造，裂隙较发育，充填方解石脉，岩质新鲜坚硬，锤击声脆。岩芯较完整，以长柱状为主，短柱状为次，少量块状、饼状，节长</w:t>
      </w:r>
      <w:r>
        <w:rPr>
          <w:rFonts w:cs="Times New Roman"/>
          <w:kern w:val="0"/>
          <w:szCs w:val="24"/>
        </w:rPr>
        <w:t>10-25cm</w:t>
      </w:r>
      <w:r>
        <w:rPr>
          <w:rFonts w:hint="eastAsia" w:ascii="宋体" w:cs="宋体"/>
          <w:kern w:val="0"/>
          <w:szCs w:val="24"/>
        </w:rPr>
        <w:t>，最长</w:t>
      </w:r>
      <w:r>
        <w:rPr>
          <w:rFonts w:cs="Times New Roman"/>
          <w:kern w:val="0"/>
          <w:szCs w:val="24"/>
        </w:rPr>
        <w:t>45cm</w:t>
      </w:r>
      <w:r>
        <w:rPr>
          <w:rFonts w:hint="eastAsia" w:ascii="宋体" w:cs="宋体"/>
          <w:kern w:val="0"/>
          <w:szCs w:val="24"/>
        </w:rPr>
        <w:t>。层厚</w:t>
      </w:r>
      <w:r>
        <w:rPr>
          <w:rFonts w:cs="Times New Roman"/>
          <w:kern w:val="0"/>
          <w:szCs w:val="24"/>
        </w:rPr>
        <w:t>0.10~8.00m</w:t>
      </w:r>
      <w:r>
        <w:rPr>
          <w:rFonts w:hint="eastAsia" w:ascii="宋体" w:cs="宋体"/>
          <w:kern w:val="0"/>
          <w:szCs w:val="24"/>
        </w:rPr>
        <w:t>，平均厚度</w:t>
      </w:r>
      <w:r>
        <w:rPr>
          <w:rFonts w:cs="Times New Roman"/>
          <w:kern w:val="0"/>
          <w:szCs w:val="24"/>
        </w:rPr>
        <w:t>3.56m</w:t>
      </w:r>
      <w:r>
        <w:rPr>
          <w:rFonts w:hint="eastAsia" w:ascii="宋体" w:cs="宋体"/>
          <w:kern w:val="0"/>
          <w:szCs w:val="24"/>
        </w:rPr>
        <w:t>。本层取岩样</w:t>
      </w:r>
      <w:r>
        <w:rPr>
          <w:rFonts w:cs="Times New Roman"/>
          <w:kern w:val="0"/>
          <w:szCs w:val="24"/>
        </w:rPr>
        <w:t xml:space="preserve">12 </w:t>
      </w:r>
      <w:r>
        <w:rPr>
          <w:rFonts w:hint="eastAsia" w:ascii="宋体" w:cs="宋体"/>
          <w:kern w:val="0"/>
          <w:szCs w:val="24"/>
        </w:rPr>
        <w:t>组，进行天然状态单轴抗压强度试验</w:t>
      </w:r>
      <w:r>
        <w:rPr>
          <w:rFonts w:cs="Times New Roman"/>
          <w:kern w:val="0"/>
          <w:szCs w:val="24"/>
        </w:rPr>
        <w:t xml:space="preserve">6 </w:t>
      </w:r>
      <w:r>
        <w:rPr>
          <w:rFonts w:hint="eastAsia" w:ascii="宋体" w:cs="宋体"/>
          <w:kern w:val="0"/>
          <w:szCs w:val="24"/>
        </w:rPr>
        <w:t>组，进行饱和状态单轴抗压强度试验</w:t>
      </w:r>
      <w:r>
        <w:rPr>
          <w:rFonts w:cs="Times New Roman"/>
          <w:kern w:val="0"/>
          <w:szCs w:val="24"/>
        </w:rPr>
        <w:t xml:space="preserve">6 </w:t>
      </w:r>
      <w:r>
        <w:rPr>
          <w:rFonts w:hint="eastAsia" w:ascii="宋体" w:cs="宋体"/>
          <w:kern w:val="0"/>
          <w:szCs w:val="24"/>
        </w:rPr>
        <w:t>组，天然状态抗压强度为</w:t>
      </w:r>
      <w:r>
        <w:rPr>
          <w:rFonts w:cs="Times New Roman"/>
          <w:kern w:val="0"/>
          <w:szCs w:val="24"/>
        </w:rPr>
        <w:t>9.9~36.8</w:t>
      </w:r>
      <w:r>
        <w:rPr>
          <w:rFonts w:cs="Times New Roman"/>
          <w:i/>
          <w:iCs/>
          <w:kern w:val="0"/>
          <w:szCs w:val="24"/>
        </w:rPr>
        <w:t>Mpa</w:t>
      </w:r>
      <w:r>
        <w:rPr>
          <w:rFonts w:hint="eastAsia" w:ascii="宋体" w:cs="宋体"/>
          <w:kern w:val="0"/>
          <w:szCs w:val="24"/>
        </w:rPr>
        <w:t>，平均值</w:t>
      </w:r>
      <w:r>
        <w:rPr>
          <w:rFonts w:cs="Times New Roman"/>
          <w:kern w:val="0"/>
          <w:szCs w:val="24"/>
        </w:rPr>
        <w:t>23.93</w:t>
      </w:r>
      <w:r>
        <w:rPr>
          <w:rFonts w:cs="Times New Roman"/>
          <w:i/>
          <w:iCs/>
          <w:kern w:val="0"/>
          <w:szCs w:val="24"/>
        </w:rPr>
        <w:t>Mpa</w:t>
      </w:r>
      <w:r>
        <w:rPr>
          <w:rFonts w:hint="eastAsia" w:ascii="宋体" w:cs="宋体"/>
          <w:kern w:val="0"/>
          <w:szCs w:val="24"/>
        </w:rPr>
        <w:t>，标准值</w:t>
      </w:r>
      <w:r>
        <w:rPr>
          <w:rFonts w:cs="Times New Roman"/>
          <w:kern w:val="0"/>
          <w:szCs w:val="24"/>
        </w:rPr>
        <w:t>14.29</w:t>
      </w:r>
      <w:r>
        <w:rPr>
          <w:rFonts w:cs="Times New Roman"/>
          <w:i/>
          <w:iCs/>
          <w:kern w:val="0"/>
          <w:szCs w:val="24"/>
        </w:rPr>
        <w:t>Mpa</w:t>
      </w:r>
      <w:r>
        <w:rPr>
          <w:rFonts w:hint="eastAsia" w:ascii="宋体" w:cs="宋体"/>
          <w:kern w:val="0"/>
          <w:sz w:val="28"/>
          <w:szCs w:val="28"/>
        </w:rPr>
        <w:t>；</w:t>
      </w:r>
      <w:r>
        <w:rPr>
          <w:rFonts w:hint="eastAsia" w:ascii="宋体" w:cs="宋体"/>
          <w:kern w:val="0"/>
          <w:szCs w:val="24"/>
        </w:rPr>
        <w:t>饱和状态抗压强度为</w:t>
      </w:r>
      <w:r>
        <w:rPr>
          <w:rFonts w:cs="Times New Roman"/>
          <w:kern w:val="0"/>
          <w:szCs w:val="24"/>
        </w:rPr>
        <w:t>8.9~25.7</w:t>
      </w:r>
      <w:r>
        <w:rPr>
          <w:rFonts w:cs="Times New Roman"/>
          <w:i/>
          <w:iCs/>
          <w:kern w:val="0"/>
          <w:szCs w:val="24"/>
        </w:rPr>
        <w:t>Mpa</w:t>
      </w:r>
      <w:r>
        <w:rPr>
          <w:rFonts w:hint="eastAsia" w:ascii="宋体" w:cs="宋体"/>
          <w:kern w:val="0"/>
          <w:szCs w:val="24"/>
        </w:rPr>
        <w:t>，平均值</w:t>
      </w:r>
      <w:r>
        <w:rPr>
          <w:rFonts w:cs="Times New Roman"/>
          <w:kern w:val="0"/>
          <w:szCs w:val="24"/>
        </w:rPr>
        <w:t>17.9</w:t>
      </w:r>
      <w:r>
        <w:rPr>
          <w:rFonts w:cs="Times New Roman"/>
          <w:i/>
          <w:iCs/>
          <w:kern w:val="0"/>
          <w:szCs w:val="24"/>
        </w:rPr>
        <w:t>Mpa</w:t>
      </w:r>
      <w:r>
        <w:rPr>
          <w:rFonts w:hint="eastAsia" w:ascii="宋体" w:cs="宋体"/>
          <w:kern w:val="0"/>
          <w:szCs w:val="24"/>
        </w:rPr>
        <w:t>，标准值</w:t>
      </w:r>
      <w:r>
        <w:rPr>
          <w:rFonts w:cs="Times New Roman"/>
          <w:kern w:val="0"/>
          <w:szCs w:val="24"/>
        </w:rPr>
        <w:t>12.1</w:t>
      </w:r>
      <w:r>
        <w:rPr>
          <w:rFonts w:cs="Times New Roman"/>
          <w:i/>
          <w:iCs/>
          <w:kern w:val="0"/>
          <w:szCs w:val="24"/>
        </w:rPr>
        <w:t>Mpa</w:t>
      </w:r>
      <w:r>
        <w:rPr>
          <w:rFonts w:hint="eastAsia" w:ascii="宋体" w:cs="宋体"/>
          <w:kern w:val="0"/>
          <w:sz w:val="28"/>
          <w:szCs w:val="28"/>
        </w:rPr>
        <w:t>，</w:t>
      </w:r>
      <w:r>
        <w:rPr>
          <w:rFonts w:hint="eastAsia" w:ascii="宋体" w:cs="宋体"/>
          <w:kern w:val="0"/>
          <w:szCs w:val="24"/>
        </w:rPr>
        <w:t>属于软岩，岩体较较完整，岩体基本质量等级为Ⅳ类。建议承载力特征值经验值</w:t>
      </w:r>
      <w:r>
        <w:rPr>
          <w:rFonts w:cs="Times New Roman"/>
          <w:i/>
          <w:iCs/>
          <w:kern w:val="0"/>
          <w:szCs w:val="24"/>
        </w:rPr>
        <w:t>f</w:t>
      </w:r>
      <w:r>
        <w:rPr>
          <w:rFonts w:cs="Times New Roman"/>
          <w:kern w:val="0"/>
          <w:sz w:val="16"/>
          <w:szCs w:val="16"/>
        </w:rPr>
        <w:t>a</w:t>
      </w:r>
      <w:r>
        <w:rPr>
          <w:rFonts w:cs="Times New Roman"/>
          <w:kern w:val="0"/>
          <w:szCs w:val="24"/>
        </w:rPr>
        <w:t>=2500kPa</w:t>
      </w:r>
      <w:r>
        <w:rPr>
          <w:rFonts w:hint="eastAsia" w:ascii="宋体" w:cs="宋体"/>
          <w:kern w:val="0"/>
          <w:szCs w:val="24"/>
        </w:rPr>
        <w:t>。</w:t>
      </w:r>
    </w:p>
    <w:p w14:paraId="5B1B4541">
      <w:pPr>
        <w:autoSpaceDE w:val="0"/>
        <w:autoSpaceDN w:val="0"/>
        <w:adjustRightInd w:val="0"/>
        <w:ind w:firstLine="480"/>
        <w:jc w:val="left"/>
        <w:rPr>
          <w:rFonts w:ascii="宋体" w:cs="宋体"/>
          <w:kern w:val="0"/>
          <w:sz w:val="18"/>
          <w:szCs w:val="18"/>
        </w:rPr>
      </w:pPr>
      <w:r>
        <w:rPr>
          <w:rFonts w:hint="eastAsia" w:ascii="宋体" w:cs="宋体"/>
          <w:kern w:val="0"/>
          <w:szCs w:val="24"/>
        </w:rPr>
        <w:t>⑥</w:t>
      </w:r>
      <w:r>
        <w:rPr>
          <w:rFonts w:cs="Times New Roman"/>
          <w:kern w:val="0"/>
          <w:sz w:val="16"/>
          <w:szCs w:val="16"/>
        </w:rPr>
        <w:t xml:space="preserve">2 </w:t>
      </w:r>
      <w:r>
        <w:rPr>
          <w:rFonts w:hint="eastAsia" w:ascii="宋体" w:cs="宋体"/>
          <w:kern w:val="0"/>
          <w:szCs w:val="24"/>
        </w:rPr>
        <w:t>溶洞：本场地</w:t>
      </w:r>
      <w:r>
        <w:rPr>
          <w:rFonts w:cs="Times New Roman"/>
          <w:kern w:val="0"/>
          <w:szCs w:val="24"/>
        </w:rPr>
        <w:t xml:space="preserve">3 </w:t>
      </w:r>
      <w:r>
        <w:rPr>
          <w:rFonts w:hint="eastAsia" w:ascii="宋体" w:cs="宋体"/>
          <w:kern w:val="0"/>
          <w:szCs w:val="24"/>
        </w:rPr>
        <w:t>个钻孔中均有揭露，层厚</w:t>
      </w:r>
      <w:r>
        <w:rPr>
          <w:rFonts w:cs="Times New Roman"/>
          <w:kern w:val="0"/>
          <w:szCs w:val="24"/>
        </w:rPr>
        <w:t>1.10~2.40m</w:t>
      </w:r>
      <w:r>
        <w:rPr>
          <w:rFonts w:hint="eastAsia" w:ascii="宋体" w:cs="宋体"/>
          <w:kern w:val="0"/>
          <w:szCs w:val="24"/>
        </w:rPr>
        <w:t>，平均厚度</w:t>
      </w:r>
      <w:r>
        <w:rPr>
          <w:rFonts w:cs="Times New Roman"/>
          <w:kern w:val="0"/>
          <w:szCs w:val="24"/>
        </w:rPr>
        <w:t>1.93m</w:t>
      </w:r>
      <w:r>
        <w:rPr>
          <w:rFonts w:hint="eastAsia" w:ascii="宋体" w:cs="宋体"/>
          <w:kern w:val="0"/>
          <w:szCs w:val="24"/>
        </w:rPr>
        <w:t>，层顶埋深</w:t>
      </w:r>
      <w:r>
        <w:rPr>
          <w:rFonts w:cs="Times New Roman"/>
          <w:kern w:val="0"/>
          <w:szCs w:val="24"/>
        </w:rPr>
        <w:t>8.50~11.60m</w:t>
      </w:r>
      <w:r>
        <w:rPr>
          <w:rFonts w:hint="eastAsia" w:ascii="宋体" w:cs="宋体"/>
          <w:kern w:val="0"/>
          <w:szCs w:val="24"/>
        </w:rPr>
        <w:t>，层顶高程</w:t>
      </w:r>
      <w:r>
        <w:rPr>
          <w:rFonts w:cs="Times New Roman"/>
          <w:kern w:val="0"/>
          <w:szCs w:val="24"/>
        </w:rPr>
        <w:t>11.94~19.58m</w:t>
      </w:r>
      <w:r>
        <w:rPr>
          <w:rFonts w:hint="eastAsia" w:ascii="宋体" w:cs="宋体"/>
          <w:kern w:val="0"/>
          <w:szCs w:val="24"/>
        </w:rPr>
        <w:t>，层底埋深</w:t>
      </w:r>
      <w:r>
        <w:rPr>
          <w:rFonts w:cs="Times New Roman"/>
          <w:kern w:val="0"/>
          <w:szCs w:val="24"/>
        </w:rPr>
        <w:t>10.80~14.00m</w:t>
      </w:r>
      <w:r>
        <w:rPr>
          <w:rFonts w:hint="eastAsia" w:ascii="宋体" w:cs="宋体"/>
          <w:kern w:val="0"/>
          <w:szCs w:val="24"/>
        </w:rPr>
        <w:t>，层底高程</w:t>
      </w:r>
      <w:r>
        <w:rPr>
          <w:rFonts w:cs="Times New Roman"/>
          <w:kern w:val="0"/>
          <w:szCs w:val="24"/>
        </w:rPr>
        <w:t>9.54~17.28m</w:t>
      </w:r>
      <w:r>
        <w:rPr>
          <w:rFonts w:hint="eastAsia" w:ascii="宋体" w:cs="宋体"/>
          <w:kern w:val="0"/>
          <w:szCs w:val="24"/>
        </w:rPr>
        <w:t>。溶洞半充填，漏水，充填物为破碎原岩碎块</w:t>
      </w:r>
      <w:r>
        <w:rPr>
          <w:rFonts w:hint="eastAsia" w:ascii="宋体" w:cs="宋体"/>
          <w:kern w:val="0"/>
          <w:sz w:val="18"/>
          <w:szCs w:val="18"/>
        </w:rPr>
        <w:t>。</w:t>
      </w:r>
    </w:p>
    <w:p w14:paraId="41C10569">
      <w:pPr>
        <w:ind w:firstLine="480"/>
        <w:rPr>
          <w:rFonts w:ascii="宋体" w:hAnsi="宋体"/>
          <w:bCs/>
        </w:rPr>
      </w:pPr>
      <w:r>
        <w:rPr>
          <w:rFonts w:hint="eastAsia" w:ascii="宋体" w:cs="宋体"/>
          <w:kern w:val="0"/>
          <w:szCs w:val="24"/>
        </w:rPr>
        <w:t>⑥</w:t>
      </w:r>
      <w:r>
        <w:rPr>
          <w:rFonts w:cs="Times New Roman"/>
          <w:kern w:val="0"/>
          <w:sz w:val="16"/>
          <w:szCs w:val="16"/>
        </w:rPr>
        <w:t xml:space="preserve">3 </w:t>
      </w:r>
      <w:r>
        <w:rPr>
          <w:rFonts w:hint="eastAsia" w:ascii="宋体" w:cs="宋体"/>
          <w:kern w:val="0"/>
          <w:szCs w:val="24"/>
        </w:rPr>
        <w:t>土洞本场地</w:t>
      </w:r>
      <w:r>
        <w:rPr>
          <w:rFonts w:cs="Times New Roman"/>
          <w:kern w:val="0"/>
          <w:szCs w:val="24"/>
        </w:rPr>
        <w:t xml:space="preserve">ZK122 </w:t>
      </w:r>
      <w:r>
        <w:rPr>
          <w:rFonts w:hint="eastAsia" w:ascii="宋体" w:cs="宋体"/>
          <w:kern w:val="0"/>
          <w:szCs w:val="24"/>
        </w:rPr>
        <w:t>等</w:t>
      </w:r>
      <w:r>
        <w:rPr>
          <w:rFonts w:cs="Times New Roman"/>
          <w:kern w:val="0"/>
          <w:szCs w:val="24"/>
        </w:rPr>
        <w:t xml:space="preserve">1 </w:t>
      </w:r>
      <w:r>
        <w:rPr>
          <w:rFonts w:hint="eastAsia" w:ascii="宋体" w:cs="宋体"/>
          <w:kern w:val="0"/>
          <w:szCs w:val="24"/>
        </w:rPr>
        <w:t>个钻孔中均有揭露，无填充，空洞。层厚</w:t>
      </w:r>
      <w:r>
        <w:rPr>
          <w:rFonts w:cs="Times New Roman"/>
          <w:kern w:val="0"/>
          <w:szCs w:val="24"/>
        </w:rPr>
        <w:t xml:space="preserve">4.00m </w:t>
      </w:r>
      <w:r>
        <w:rPr>
          <w:rFonts w:hint="eastAsia" w:ascii="宋体" w:cs="宋体"/>
          <w:kern w:val="0"/>
          <w:szCs w:val="24"/>
        </w:rPr>
        <w:t>层顶埋深</w:t>
      </w:r>
      <w:r>
        <w:rPr>
          <w:rFonts w:cs="Times New Roman"/>
          <w:kern w:val="0"/>
          <w:szCs w:val="24"/>
        </w:rPr>
        <w:t>13.00m</w:t>
      </w:r>
      <w:r>
        <w:rPr>
          <w:rFonts w:hint="eastAsia" w:ascii="宋体" w:cs="宋体"/>
          <w:kern w:val="0"/>
          <w:szCs w:val="24"/>
        </w:rPr>
        <w:t>，层顶高程</w:t>
      </w:r>
      <w:r>
        <w:rPr>
          <w:rFonts w:cs="Times New Roman"/>
          <w:kern w:val="0"/>
          <w:szCs w:val="24"/>
        </w:rPr>
        <w:t>34.49m</w:t>
      </w:r>
      <w:r>
        <w:rPr>
          <w:rFonts w:hint="eastAsia" w:ascii="宋体" w:cs="宋体"/>
          <w:kern w:val="0"/>
          <w:szCs w:val="24"/>
        </w:rPr>
        <w:t>，层底埋深</w:t>
      </w:r>
      <w:r>
        <w:rPr>
          <w:rFonts w:cs="Times New Roman"/>
          <w:kern w:val="0"/>
          <w:szCs w:val="24"/>
        </w:rPr>
        <w:t>17.00m</w:t>
      </w:r>
      <w:r>
        <w:rPr>
          <w:rFonts w:hint="eastAsia" w:ascii="宋体" w:cs="宋体"/>
          <w:kern w:val="0"/>
          <w:szCs w:val="24"/>
        </w:rPr>
        <w:t>，层底高程</w:t>
      </w:r>
      <w:r>
        <w:rPr>
          <w:rFonts w:cs="Times New Roman"/>
          <w:kern w:val="0"/>
          <w:szCs w:val="24"/>
        </w:rPr>
        <w:t>30.49m</w:t>
      </w:r>
      <w:r>
        <w:rPr>
          <w:rFonts w:hint="eastAsia" w:ascii="宋体" w:cs="宋体"/>
          <w:kern w:val="0"/>
          <w:szCs w:val="24"/>
        </w:rPr>
        <w:t>。</w:t>
      </w:r>
    </w:p>
    <w:p w14:paraId="24F9530E">
      <w:pPr>
        <w:pStyle w:val="5"/>
        <w:spacing w:before="163" w:after="163"/>
        <w:ind w:firstLine="560"/>
      </w:pPr>
      <w:bookmarkStart w:id="83" w:name="_Toc68620615"/>
      <w:bookmarkStart w:id="84" w:name="_Toc71703559"/>
      <w:bookmarkStart w:id="85" w:name="_Toc22472"/>
      <w:r>
        <w:rPr>
          <w:rFonts w:hint="eastAsia"/>
        </w:rPr>
        <w:t>地震条件</w:t>
      </w:r>
      <w:bookmarkEnd w:id="83"/>
      <w:bookmarkEnd w:id="84"/>
      <w:bookmarkEnd w:id="85"/>
    </w:p>
    <w:p w14:paraId="0BF4059F">
      <w:pPr>
        <w:ind w:firstLine="480"/>
        <w:rPr>
          <w:rFonts w:ascii="宋体" w:hAnsi="宋体"/>
          <w:bCs/>
        </w:rPr>
      </w:pPr>
      <w:r>
        <w:rPr>
          <w:rFonts w:hint="eastAsia" w:ascii="宋体" w:hAnsi="宋体"/>
          <w:bCs/>
        </w:rPr>
        <w:t>（1）场地稳定性</w:t>
      </w:r>
    </w:p>
    <w:p w14:paraId="2B886DD2">
      <w:pPr>
        <w:ind w:firstLine="480"/>
        <w:rPr>
          <w:rFonts w:ascii="宋体" w:hAnsi="宋体"/>
          <w:bCs/>
        </w:rPr>
      </w:pPr>
      <w:r>
        <w:rPr>
          <w:rFonts w:hint="eastAsia" w:ascii="宋体" w:hAnsi="宋体"/>
          <w:bCs/>
        </w:rPr>
        <w:t>从地震活动的时空分布特征来看，广州地区历史上曾发生过中小型有感地震，最大地震震级为4.75级，无大的灾害性地震记载。根据《广东省地震烈度区划图》资料：场地位于建筑抗震设防烈度7度区内；根据钻探揭露，场地未见断层通过，构造稳定性较好。场地基岩为石灰岩，具备发育土（溶）洞的地质条件，钻探已经发现11.1%的钻孔存在全充填的土洞和11.1%的钻孔存在无充填的溶洞，土（溶）洞发育会导致形成地面塌陷等问题，因此，本建筑场地的适宜性为一般，并应对土溶洞作处理。</w:t>
      </w:r>
    </w:p>
    <w:p w14:paraId="2BE9C896">
      <w:pPr>
        <w:ind w:firstLine="480"/>
        <w:rPr>
          <w:rFonts w:ascii="宋体" w:hAnsi="宋体"/>
          <w:bCs/>
        </w:rPr>
      </w:pPr>
      <w:r>
        <w:rPr>
          <w:rFonts w:hint="eastAsia" w:ascii="宋体" w:hAnsi="宋体"/>
          <w:bCs/>
        </w:rPr>
        <w:t>（2）场地特殊性</w:t>
      </w:r>
    </w:p>
    <w:p w14:paraId="42C0FE48">
      <w:pPr>
        <w:ind w:firstLine="480"/>
        <w:rPr>
          <w:rFonts w:ascii="宋体" w:hAnsi="宋体"/>
          <w:bCs/>
        </w:rPr>
      </w:pPr>
      <w:r>
        <w:rPr>
          <w:rFonts w:hint="eastAsia" w:ascii="宋体" w:hAnsi="宋体"/>
          <w:bCs/>
        </w:rPr>
        <w:t>区内基岩为灰岩，其具备发育土（溶）洞的地质条件，钻探已经发现11.1%的钻孔全充填的土洞，11.1%的钻孔存在无充填的溶洞，此类岩层发育土洞和溶洞，基坑开挖或基础桩施工时可能会引发突然涌水或漏水等问题，从而可能出现塌孔、塌陷等不良地质情况；另外，基坑开挖时的降水过程中，会引起邻近建筑物出现下沉和开裂，应引起重视。</w:t>
      </w:r>
    </w:p>
    <w:p w14:paraId="00E7D731">
      <w:pPr>
        <w:ind w:firstLine="480"/>
        <w:rPr>
          <w:rFonts w:ascii="宋体" w:hAnsi="宋体"/>
          <w:bCs/>
        </w:rPr>
      </w:pPr>
      <w:r>
        <w:rPr>
          <w:rFonts w:hint="eastAsia" w:ascii="宋体" w:hAnsi="宋体"/>
          <w:bCs/>
        </w:rPr>
        <w:t>（3）岩面附近的风化土</w:t>
      </w:r>
    </w:p>
    <w:p w14:paraId="59372DC5">
      <w:pPr>
        <w:ind w:firstLine="480"/>
        <w:rPr>
          <w:rFonts w:ascii="宋体" w:hAnsi="宋体"/>
          <w:bCs/>
        </w:rPr>
      </w:pPr>
      <w:r>
        <w:rPr>
          <w:rFonts w:hint="eastAsia" w:ascii="宋体" w:hAnsi="宋体"/>
          <w:bCs/>
        </w:rPr>
        <w:t>场地的灰岩土洞和溶洞发育，地下水丰富，微风化灰岩面附近的残积土被水长期渗泡，呈饱水状态，软~可塑状。该层在岩面附近普遍存在，呈不连续分布，基础施工应引起注意，桩尖应穿过该软弱层。</w:t>
      </w:r>
    </w:p>
    <w:p w14:paraId="34E3B689">
      <w:pPr>
        <w:ind w:firstLine="480"/>
        <w:rPr>
          <w:rFonts w:ascii="宋体" w:hAnsi="宋体"/>
          <w:bCs/>
        </w:rPr>
      </w:pPr>
      <w:r>
        <w:rPr>
          <w:rFonts w:hint="eastAsia" w:ascii="宋体" w:hAnsi="宋体"/>
          <w:bCs/>
        </w:rPr>
        <w:t>（4）地质存在问题</w:t>
      </w:r>
    </w:p>
    <w:p w14:paraId="1EDE6E27">
      <w:pPr>
        <w:ind w:firstLine="480"/>
        <w:rPr>
          <w:rFonts w:ascii="宋体" w:hAnsi="宋体"/>
          <w:bCs/>
        </w:rPr>
      </w:pPr>
      <w:r>
        <w:rPr>
          <w:rFonts w:hint="eastAsia" w:ascii="宋体" w:hAnsi="宋体"/>
          <w:bCs/>
        </w:rPr>
        <w:t>厚度不均匀的就近堆填土，其固结时间需要10-15年左右，不经处理的新近堆填土会导致不均匀沉降问题。</w:t>
      </w:r>
    </w:p>
    <w:p w14:paraId="5634937A">
      <w:pPr>
        <w:ind w:firstLine="480"/>
        <w:rPr>
          <w:rFonts w:ascii="宋体" w:hAnsi="宋体"/>
          <w:bCs/>
        </w:rPr>
      </w:pPr>
      <w:r>
        <w:rPr>
          <w:rFonts w:hint="eastAsia" w:ascii="宋体" w:hAnsi="宋体"/>
          <w:bCs/>
        </w:rPr>
        <w:t>土（溶）洞发育会导致地面塌陷等问题。</w:t>
      </w:r>
    </w:p>
    <w:p w14:paraId="3A0A89D6">
      <w:pPr>
        <w:ind w:firstLine="480"/>
        <w:rPr>
          <w:rFonts w:ascii="宋体" w:hAnsi="宋体"/>
          <w:bCs/>
        </w:rPr>
      </w:pPr>
      <w:r>
        <w:rPr>
          <w:rFonts w:hint="eastAsia" w:ascii="宋体" w:hAnsi="宋体"/>
          <w:bCs/>
        </w:rPr>
        <w:t>场地土（溶）洞发育，施工图阶段应进一步查明，如可采用桩位超前钻。</w:t>
      </w:r>
    </w:p>
    <w:p w14:paraId="41569A67">
      <w:pPr>
        <w:ind w:firstLine="480"/>
      </w:pPr>
      <w:r>
        <w:rPr>
          <w:rFonts w:hint="eastAsia" w:ascii="宋体" w:hAnsi="宋体"/>
          <w:bCs/>
        </w:rPr>
        <w:t>场地为灰岩，采用预制桩时，施工过程出现断桩、斜桩的情况会较普遍，应有措施。</w:t>
      </w:r>
    </w:p>
    <w:p w14:paraId="326E3C15">
      <w:pPr>
        <w:ind w:firstLine="480"/>
      </w:pPr>
      <w:r>
        <w:rPr>
          <w:rFonts w:hint="eastAsia"/>
        </w:rPr>
        <w:t>根据《建筑抗震设计规范》（GB50011-20102016年版）附录A，广州抗震设防烈度为</w:t>
      </w:r>
      <w:r>
        <w:rPr>
          <w:rFonts w:hint="eastAsia"/>
          <w:lang w:val="en-US" w:eastAsia="zh-CN"/>
        </w:rPr>
        <w:t>6</w:t>
      </w:r>
      <w:r>
        <w:rPr>
          <w:rFonts w:hint="eastAsia"/>
        </w:rPr>
        <w:t>度，设计基本地震加速度值为0.</w:t>
      </w:r>
      <w:r>
        <w:t>05</w:t>
      </w:r>
      <w:r>
        <w:rPr>
          <w:rFonts w:hint="eastAsia"/>
        </w:rPr>
        <w:t>g。</w:t>
      </w:r>
      <w:bookmarkStart w:id="135" w:name="_GoBack"/>
      <w:bookmarkEnd w:id="135"/>
    </w:p>
    <w:p w14:paraId="4A03C33A">
      <w:pPr>
        <w:ind w:firstLine="0" w:firstLineChars="0"/>
        <w:jc w:val="center"/>
      </w:pPr>
      <w:r>
        <w:drawing>
          <wp:inline distT="0" distB="0" distL="0" distR="0">
            <wp:extent cx="3966210" cy="310070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976090" cy="3108464"/>
                    </a:xfrm>
                    <a:prstGeom prst="rect">
                      <a:avLst/>
                    </a:prstGeom>
                    <a:noFill/>
                  </pic:spPr>
                </pic:pic>
              </a:graphicData>
            </a:graphic>
          </wp:inline>
        </w:drawing>
      </w:r>
    </w:p>
    <w:p w14:paraId="0D655A7F">
      <w:pPr>
        <w:ind w:firstLine="0" w:firstLineChars="0"/>
        <w:jc w:val="center"/>
        <w:rPr>
          <w:b/>
          <w:bCs/>
        </w:rPr>
      </w:pPr>
      <w:r>
        <w:rPr>
          <w:rFonts w:hint="eastAsia"/>
          <w:b/>
          <w:bCs/>
        </w:rPr>
        <w:t>广东省地震动峰值加速度图</w:t>
      </w:r>
    </w:p>
    <w:p w14:paraId="044D6620">
      <w:pPr>
        <w:pStyle w:val="4"/>
        <w:spacing w:before="163" w:after="163"/>
        <w:ind w:firstLine="602"/>
      </w:pPr>
      <w:bookmarkStart w:id="86" w:name="_Toc71703560"/>
      <w:bookmarkStart w:id="87" w:name="_Toc15816"/>
      <w:bookmarkStart w:id="88" w:name="_Toc68620616"/>
      <w:r>
        <w:rPr>
          <w:rFonts w:hint="eastAsia"/>
        </w:rPr>
        <w:t>项目场地现状</w:t>
      </w:r>
      <w:bookmarkEnd w:id="86"/>
      <w:bookmarkEnd w:id="87"/>
      <w:bookmarkEnd w:id="88"/>
    </w:p>
    <w:p w14:paraId="28537EA4">
      <w:pPr>
        <w:snapToGrid w:val="0"/>
        <w:ind w:firstLine="480"/>
      </w:pPr>
      <w:r>
        <w:rPr>
          <w:rFonts w:hint="eastAsia"/>
        </w:rPr>
        <w:t>本项目现场为山地，待场地平整后再新建道路。</w:t>
      </w:r>
    </w:p>
    <w:tbl>
      <w:tblPr>
        <w:tblStyle w:val="88"/>
        <w:tblW w:w="0" w:type="auto"/>
        <w:jc w:val="center"/>
        <w:tblLayout w:type="autofit"/>
        <w:tblCellMar>
          <w:top w:w="0" w:type="dxa"/>
          <w:left w:w="108" w:type="dxa"/>
          <w:bottom w:w="0" w:type="dxa"/>
          <w:right w:w="108" w:type="dxa"/>
        </w:tblCellMar>
      </w:tblPr>
      <w:tblGrid>
        <w:gridCol w:w="4326"/>
        <w:gridCol w:w="4326"/>
      </w:tblGrid>
      <w:tr w14:paraId="6DF0D5F9">
        <w:tblPrEx>
          <w:tblCellMar>
            <w:top w:w="0" w:type="dxa"/>
            <w:left w:w="108" w:type="dxa"/>
            <w:bottom w:w="0" w:type="dxa"/>
            <w:right w:w="108" w:type="dxa"/>
          </w:tblCellMar>
        </w:tblPrEx>
        <w:trPr>
          <w:jc w:val="center"/>
        </w:trPr>
        <w:tc>
          <w:tcPr>
            <w:tcW w:w="3306" w:type="dxa"/>
            <w:vAlign w:val="center"/>
          </w:tcPr>
          <w:p w14:paraId="262E2914">
            <w:pPr>
              <w:ind w:firstLine="0" w:firstLineChars="0"/>
              <w:jc w:val="center"/>
              <w:rPr>
                <w:highlight w:val="yellow"/>
              </w:rPr>
            </w:pPr>
            <w:r>
              <w:drawing>
                <wp:inline distT="0" distB="0" distL="0" distR="0">
                  <wp:extent cx="2604770" cy="1953260"/>
                  <wp:effectExtent l="0" t="0" r="508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3"/>
                          <a:stretch>
                            <a:fillRect/>
                          </a:stretch>
                        </pic:blipFill>
                        <pic:spPr>
                          <a:xfrm>
                            <a:off x="0" y="0"/>
                            <a:ext cx="2607375" cy="1955597"/>
                          </a:xfrm>
                          <a:prstGeom prst="rect">
                            <a:avLst/>
                          </a:prstGeom>
                        </pic:spPr>
                      </pic:pic>
                    </a:graphicData>
                  </a:graphic>
                </wp:inline>
              </w:drawing>
            </w:r>
          </w:p>
        </w:tc>
        <w:tc>
          <w:tcPr>
            <w:tcW w:w="3498" w:type="dxa"/>
            <w:vAlign w:val="center"/>
          </w:tcPr>
          <w:p w14:paraId="53EAB364">
            <w:pPr>
              <w:ind w:firstLine="0" w:firstLineChars="0"/>
              <w:jc w:val="center"/>
              <w:rPr>
                <w:highlight w:val="yellow"/>
              </w:rPr>
            </w:pPr>
            <w:r>
              <w:drawing>
                <wp:inline distT="0" distB="0" distL="0" distR="0">
                  <wp:extent cx="2603500" cy="1952625"/>
                  <wp:effectExtent l="0" t="0" r="635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
                          <a:stretch>
                            <a:fillRect/>
                          </a:stretch>
                        </pic:blipFill>
                        <pic:spPr>
                          <a:xfrm>
                            <a:off x="0" y="0"/>
                            <a:ext cx="2615381" cy="1961601"/>
                          </a:xfrm>
                          <a:prstGeom prst="rect">
                            <a:avLst/>
                          </a:prstGeom>
                        </pic:spPr>
                      </pic:pic>
                    </a:graphicData>
                  </a:graphic>
                </wp:inline>
              </w:drawing>
            </w:r>
          </w:p>
        </w:tc>
      </w:tr>
    </w:tbl>
    <w:p w14:paraId="4B4D98B5">
      <w:pPr>
        <w:ind w:firstLine="0" w:firstLineChars="0"/>
        <w:jc w:val="left"/>
        <w:rPr>
          <w:b/>
          <w:bCs/>
          <w:highlight w:val="yellow"/>
        </w:rPr>
      </w:pPr>
    </w:p>
    <w:tbl>
      <w:tblPr>
        <w:tblStyle w:val="88"/>
        <w:tblW w:w="0" w:type="auto"/>
        <w:jc w:val="center"/>
        <w:tblLayout w:type="autofit"/>
        <w:tblCellMar>
          <w:top w:w="0" w:type="dxa"/>
          <w:left w:w="108" w:type="dxa"/>
          <w:bottom w:w="0" w:type="dxa"/>
          <w:right w:w="108" w:type="dxa"/>
        </w:tblCellMar>
      </w:tblPr>
      <w:tblGrid>
        <w:gridCol w:w="4760"/>
        <w:gridCol w:w="4855"/>
      </w:tblGrid>
      <w:tr w14:paraId="6E113C4F">
        <w:tblPrEx>
          <w:tblCellMar>
            <w:top w:w="0" w:type="dxa"/>
            <w:left w:w="108" w:type="dxa"/>
            <w:bottom w:w="0" w:type="dxa"/>
            <w:right w:w="108" w:type="dxa"/>
          </w:tblCellMar>
        </w:tblPrEx>
        <w:trPr>
          <w:trHeight w:val="3790" w:hRule="atLeast"/>
          <w:jc w:val="center"/>
        </w:trPr>
        <w:tc>
          <w:tcPr>
            <w:tcW w:w="4760" w:type="dxa"/>
          </w:tcPr>
          <w:p w14:paraId="7AE83D47">
            <w:pPr>
              <w:ind w:firstLine="0" w:firstLineChars="0"/>
              <w:jc w:val="center"/>
              <w:rPr>
                <w:b/>
                <w:bCs/>
                <w:highlight w:val="yellow"/>
              </w:rPr>
            </w:pPr>
            <w:r>
              <w:rPr>
                <w:b/>
                <w:bCs/>
              </w:rPr>
              <w:drawing>
                <wp:inline distT="0" distB="0" distL="0" distR="0">
                  <wp:extent cx="2820670" cy="21158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5"/>
                          <a:stretch>
                            <a:fillRect/>
                          </a:stretch>
                        </pic:blipFill>
                        <pic:spPr>
                          <a:xfrm>
                            <a:off x="0" y="0"/>
                            <a:ext cx="2823608" cy="2117778"/>
                          </a:xfrm>
                          <a:prstGeom prst="rect">
                            <a:avLst/>
                          </a:prstGeom>
                        </pic:spPr>
                      </pic:pic>
                    </a:graphicData>
                  </a:graphic>
                </wp:inline>
              </w:drawing>
            </w:r>
          </w:p>
        </w:tc>
        <w:tc>
          <w:tcPr>
            <w:tcW w:w="4855" w:type="dxa"/>
          </w:tcPr>
          <w:p w14:paraId="3A83D1B7">
            <w:pPr>
              <w:ind w:firstLine="0" w:firstLineChars="0"/>
              <w:jc w:val="center"/>
              <w:rPr>
                <w:b/>
                <w:bCs/>
                <w:highlight w:val="yellow"/>
              </w:rPr>
            </w:pPr>
            <w:r>
              <w:rPr>
                <w:b/>
                <w:bCs/>
              </w:rPr>
              <w:drawing>
                <wp:inline distT="0" distB="0" distL="0" distR="0">
                  <wp:extent cx="2879725" cy="215963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6"/>
                          <a:stretch>
                            <a:fillRect/>
                          </a:stretch>
                        </pic:blipFill>
                        <pic:spPr>
                          <a:xfrm>
                            <a:off x="0" y="0"/>
                            <a:ext cx="2879903" cy="2160000"/>
                          </a:xfrm>
                          <a:prstGeom prst="rect">
                            <a:avLst/>
                          </a:prstGeom>
                        </pic:spPr>
                      </pic:pic>
                    </a:graphicData>
                  </a:graphic>
                </wp:inline>
              </w:drawing>
            </w:r>
          </w:p>
        </w:tc>
      </w:tr>
    </w:tbl>
    <w:p w14:paraId="264392F2">
      <w:pPr>
        <w:ind w:firstLine="0" w:firstLineChars="0"/>
        <w:jc w:val="center"/>
        <w:rPr>
          <w:rFonts w:hint="eastAsia"/>
          <w:b/>
          <w:bCs/>
        </w:rPr>
      </w:pPr>
      <w:r>
        <w:rPr>
          <w:rFonts w:hint="eastAsia"/>
          <w:b/>
          <w:bCs/>
        </w:rPr>
        <w:t>项目建设场地现状</w:t>
      </w:r>
    </w:p>
    <w:p w14:paraId="799B217E">
      <w:pPr>
        <w:pStyle w:val="4"/>
        <w:spacing w:before="163" w:after="163"/>
        <w:ind w:firstLine="602"/>
        <w:rPr>
          <w:rFonts w:hint="eastAsia"/>
        </w:rPr>
      </w:pPr>
      <w:bookmarkStart w:id="89" w:name="_Toc4259"/>
      <w:r>
        <w:rPr>
          <w:rFonts w:hint="eastAsia"/>
        </w:rPr>
        <w:t>沿线公交站等城市交通设施现状</w:t>
      </w:r>
      <w:bookmarkEnd w:id="89"/>
    </w:p>
    <w:p w14:paraId="0A95076D">
      <w:pPr>
        <w:snapToGrid w:val="0"/>
        <w:ind w:firstLine="480"/>
        <w:rPr>
          <w:rFonts w:hint="default" w:eastAsia="宋体"/>
          <w:lang w:val="en-US" w:eastAsia="zh-CN"/>
        </w:rPr>
      </w:pPr>
      <w:r>
        <w:rPr>
          <w:rFonts w:hint="eastAsia"/>
          <w:lang w:val="en-US" w:eastAsia="zh-CN"/>
        </w:rPr>
        <w:t>项目1km范围内仅有花都大道有现状公交站，</w:t>
      </w:r>
      <w:r>
        <w:rPr>
          <w:rFonts w:hint="eastAsia"/>
          <w:spacing w:val="1"/>
        </w:rPr>
        <w:t>机场北进场路</w:t>
      </w:r>
      <w:r>
        <w:rPr>
          <w:rFonts w:hint="eastAsia"/>
          <w:spacing w:val="1"/>
          <w:lang w:val="en-US" w:eastAsia="zh-CN"/>
        </w:rPr>
        <w:t>暂无设置。</w:t>
      </w:r>
    </w:p>
    <w:p w14:paraId="75F33C15">
      <w:pPr>
        <w:ind w:firstLine="0" w:firstLineChars="0"/>
        <w:jc w:val="center"/>
        <w:rPr>
          <w:rFonts w:hint="eastAsia"/>
          <w:b/>
          <w:bCs/>
        </w:rPr>
      </w:pPr>
      <w:r>
        <w:drawing>
          <wp:inline distT="0" distB="0" distL="114300" distR="114300">
            <wp:extent cx="4213860" cy="3054350"/>
            <wp:effectExtent l="0" t="0" r="1524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7"/>
                    <a:stretch>
                      <a:fillRect/>
                    </a:stretch>
                  </pic:blipFill>
                  <pic:spPr>
                    <a:xfrm>
                      <a:off x="0" y="0"/>
                      <a:ext cx="4213860" cy="3054350"/>
                    </a:xfrm>
                    <a:prstGeom prst="rect">
                      <a:avLst/>
                    </a:prstGeom>
                    <a:noFill/>
                    <a:ln>
                      <a:noFill/>
                    </a:ln>
                  </pic:spPr>
                </pic:pic>
              </a:graphicData>
            </a:graphic>
          </wp:inline>
        </w:drawing>
      </w:r>
    </w:p>
    <w:p w14:paraId="0969054A">
      <w:pPr>
        <w:pStyle w:val="4"/>
        <w:spacing w:before="163" w:after="163"/>
        <w:ind w:firstLine="602"/>
      </w:pPr>
      <w:bookmarkStart w:id="90" w:name="_Toc71703561"/>
      <w:bookmarkStart w:id="91" w:name="_Toc68620617"/>
      <w:bookmarkStart w:id="92" w:name="_Toc19055"/>
      <w:r>
        <w:rPr>
          <w:rFonts w:hint="eastAsia"/>
        </w:rPr>
        <w:t>项目区域内铁路、水运、航空、管道等运输方式对项目的影响</w:t>
      </w:r>
      <w:bookmarkEnd w:id="90"/>
      <w:bookmarkEnd w:id="91"/>
      <w:bookmarkEnd w:id="92"/>
    </w:p>
    <w:p w14:paraId="1CFCA447">
      <w:pPr>
        <w:ind w:firstLine="480"/>
      </w:pPr>
      <w:r>
        <w:rPr>
          <w:rFonts w:hint="eastAsia"/>
        </w:rPr>
        <w:t>项目直接影响区域内无轨道交通。</w:t>
      </w:r>
    </w:p>
    <w:p w14:paraId="2336FAB5">
      <w:pPr>
        <w:ind w:firstLine="480"/>
      </w:pPr>
      <w:r>
        <w:rPr>
          <w:rFonts w:hint="eastAsia"/>
        </w:rPr>
        <w:t>项目所经区域内没有主要河流。</w:t>
      </w:r>
    </w:p>
    <w:p w14:paraId="0F3CAD1A">
      <w:pPr>
        <w:ind w:firstLine="480"/>
      </w:pPr>
      <w:r>
        <w:rPr>
          <w:rFonts w:hint="eastAsia"/>
        </w:rPr>
        <w:t>项目所经区域内没有机场，但周边有广州白云国际机场，可通过区域高速公路及快速干线与相关机场连通，为沿线地区提供方便、快捷的航空服务。</w:t>
      </w:r>
    </w:p>
    <w:p w14:paraId="25C96C87">
      <w:pPr>
        <w:ind w:firstLine="480"/>
      </w:pPr>
      <w:r>
        <w:rPr>
          <w:rFonts w:hint="eastAsia"/>
        </w:rPr>
        <w:t>项目区域内没有大型管道运输。</w:t>
      </w:r>
    </w:p>
    <w:p w14:paraId="3B5545B8">
      <w:pPr>
        <w:ind w:firstLine="480"/>
      </w:pPr>
      <w:r>
        <w:br w:type="page"/>
      </w:r>
    </w:p>
    <w:p w14:paraId="5160730B">
      <w:pPr>
        <w:pStyle w:val="3"/>
        <w:spacing w:before="163" w:after="163"/>
      </w:pPr>
      <w:bookmarkStart w:id="93" w:name="_Toc71703562"/>
      <w:bookmarkStart w:id="94" w:name="_Toc68620618"/>
      <w:bookmarkStart w:id="95" w:name="_Toc801"/>
      <w:r>
        <w:rPr>
          <w:rFonts w:hint="eastAsia"/>
        </w:rPr>
        <w:t>工程设计方案</w:t>
      </w:r>
      <w:bookmarkEnd w:id="93"/>
      <w:bookmarkEnd w:id="94"/>
      <w:bookmarkEnd w:id="95"/>
    </w:p>
    <w:p w14:paraId="07BFB350">
      <w:pPr>
        <w:pStyle w:val="4"/>
        <w:spacing w:before="163" w:after="163"/>
        <w:ind w:firstLine="602"/>
      </w:pPr>
      <w:bookmarkStart w:id="96" w:name="_Toc28470"/>
      <w:r>
        <w:rPr>
          <w:rFonts w:hint="eastAsia"/>
        </w:rPr>
        <w:t>总体设计</w:t>
      </w:r>
      <w:bookmarkEnd w:id="96"/>
    </w:p>
    <w:p w14:paraId="7CB589D9">
      <w:pPr>
        <w:pStyle w:val="5"/>
        <w:spacing w:before="163" w:after="163"/>
        <w:ind w:firstLine="560"/>
      </w:pPr>
      <w:bookmarkStart w:id="97" w:name="_Toc71703569"/>
      <w:bookmarkStart w:id="98" w:name="_Toc20266"/>
      <w:bookmarkStart w:id="99" w:name="_Toc68620625"/>
      <w:r>
        <w:rPr>
          <w:rFonts w:hint="eastAsia"/>
        </w:rPr>
        <w:t>技术标准与设计技术指标</w:t>
      </w:r>
      <w:bookmarkEnd w:id="97"/>
      <w:bookmarkEnd w:id="98"/>
      <w:bookmarkEnd w:id="99"/>
    </w:p>
    <w:p w14:paraId="7B0B8B68">
      <w:pPr>
        <w:snapToGrid w:val="0"/>
        <w:ind w:firstLine="482"/>
        <w:rPr>
          <w:rFonts w:hint="default" w:eastAsia="宋体"/>
          <w:lang w:val="en-US" w:eastAsia="zh-CN"/>
        </w:rPr>
      </w:pPr>
      <w:r>
        <w:rPr>
          <w:rFonts w:hint="eastAsia"/>
        </w:rPr>
        <w:t>根据项目建议书要求本项目路线位规划及道路的性质、沿线地形地貌条件、交通量预测结果、通行能力分析和道路服务水平评价。永安东路采用城市次干路设计标准，设计速度40km/h，红线宽度50m，双向六车道，采用沥青混凝土路面结构。</w:t>
      </w:r>
      <w:r>
        <w:rPr>
          <w:rFonts w:hint="eastAsia"/>
          <w:b/>
          <w:bCs/>
          <w:spacing w:val="4"/>
          <w:lang w:val="en-US" w:eastAsia="zh-CN"/>
        </w:rPr>
        <w:t>本次设计范围为永安东路左半幅K0+259.439~K0+350.367，长度约90.9m，宽度25m。</w:t>
      </w:r>
    </w:p>
    <w:p w14:paraId="65CC1887">
      <w:pPr>
        <w:ind w:firstLine="480"/>
      </w:pPr>
      <w:r>
        <w:rPr>
          <w:rFonts w:hint="eastAsia"/>
        </w:rPr>
        <w:t>本项目根据规划路线进行布置，具体参数指标如下：</w:t>
      </w:r>
    </w:p>
    <w:p w14:paraId="61D5D74C">
      <w:pPr>
        <w:ind w:firstLine="0" w:firstLineChars="0"/>
        <w:jc w:val="center"/>
        <w:rPr>
          <w:b/>
          <w:bCs/>
        </w:rPr>
      </w:pPr>
      <w:r>
        <w:rPr>
          <w:b/>
          <w:bCs/>
        </w:rPr>
        <w:t>主要技术</w:t>
      </w:r>
      <w:r>
        <w:rPr>
          <w:rFonts w:hint="eastAsia"/>
          <w:b/>
          <w:bCs/>
        </w:rPr>
        <w:t>指标</w:t>
      </w:r>
      <w:r>
        <w:rPr>
          <w:b/>
          <w:bCs/>
        </w:rPr>
        <w:t>表</w:t>
      </w:r>
    </w:p>
    <w:tbl>
      <w:tblPr>
        <w:tblStyle w:val="88"/>
        <w:tblW w:w="0" w:type="auto"/>
        <w:jc w:val="center"/>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Layout w:type="autofit"/>
        <w:tblCellMar>
          <w:top w:w="0" w:type="dxa"/>
          <w:left w:w="108" w:type="dxa"/>
          <w:bottom w:w="0" w:type="dxa"/>
          <w:right w:w="108" w:type="dxa"/>
        </w:tblCellMar>
      </w:tblPr>
      <w:tblGrid>
        <w:gridCol w:w="631"/>
        <w:gridCol w:w="2484"/>
        <w:gridCol w:w="648"/>
        <w:gridCol w:w="4460"/>
        <w:gridCol w:w="1858"/>
      </w:tblGrid>
      <w:tr w14:paraId="65E2EE39">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PrEx>
        <w:trPr>
          <w:trHeight w:val="397" w:hRule="atLeast"/>
          <w:tblHeader/>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B159CC">
            <w:pPr>
              <w:spacing w:line="240" w:lineRule="auto"/>
              <w:ind w:firstLine="0" w:firstLineChars="0"/>
              <w:jc w:val="center"/>
              <w:rPr>
                <w:b/>
                <w:sz w:val="21"/>
                <w:szCs w:val="21"/>
              </w:rPr>
            </w:pPr>
            <w:r>
              <w:rPr>
                <w:rFonts w:hint="eastAsia"/>
                <w:b/>
                <w:sz w:val="21"/>
                <w:szCs w:val="21"/>
              </w:rPr>
              <w:t>技术指标名称</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5CEC320">
            <w:pPr>
              <w:spacing w:line="240" w:lineRule="auto"/>
              <w:ind w:firstLine="0" w:firstLineChars="0"/>
              <w:jc w:val="center"/>
              <w:rPr>
                <w:b/>
                <w:sz w:val="21"/>
                <w:szCs w:val="21"/>
              </w:rPr>
            </w:pPr>
            <w:r>
              <w:rPr>
                <w:rFonts w:hint="eastAsia"/>
                <w:b/>
                <w:sz w:val="21"/>
                <w:szCs w:val="21"/>
              </w:rPr>
              <w:t>单位</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8205834">
            <w:pPr>
              <w:spacing w:line="240" w:lineRule="auto"/>
              <w:ind w:firstLine="0" w:firstLineChars="0"/>
              <w:jc w:val="center"/>
              <w:rPr>
                <w:b/>
                <w:sz w:val="21"/>
                <w:szCs w:val="21"/>
              </w:rPr>
            </w:pPr>
            <w:r>
              <w:rPr>
                <w:rFonts w:hint="eastAsia"/>
                <w:b/>
                <w:sz w:val="21"/>
                <w:szCs w:val="21"/>
              </w:rPr>
              <w:t>规范值</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6FF571A">
            <w:pPr>
              <w:spacing w:line="240" w:lineRule="auto"/>
              <w:ind w:firstLine="0" w:firstLineChars="0"/>
              <w:jc w:val="center"/>
              <w:rPr>
                <w:b/>
                <w:sz w:val="21"/>
                <w:szCs w:val="21"/>
              </w:rPr>
            </w:pPr>
            <w:r>
              <w:rPr>
                <w:rFonts w:hint="eastAsia"/>
                <w:b/>
                <w:sz w:val="21"/>
                <w:szCs w:val="21"/>
              </w:rPr>
              <w:t>设计值</w:t>
            </w:r>
          </w:p>
          <w:p w14:paraId="5BE4717F">
            <w:pPr>
              <w:spacing w:line="240" w:lineRule="auto"/>
              <w:ind w:firstLine="0" w:firstLineChars="0"/>
              <w:jc w:val="center"/>
              <w:rPr>
                <w:b/>
                <w:sz w:val="21"/>
                <w:szCs w:val="21"/>
              </w:rPr>
            </w:pPr>
            <w:r>
              <w:rPr>
                <w:rFonts w:hint="eastAsia"/>
                <w:b/>
                <w:sz w:val="21"/>
                <w:szCs w:val="21"/>
              </w:rPr>
              <w:t>（永安东路）</w:t>
            </w:r>
          </w:p>
        </w:tc>
      </w:tr>
      <w:tr w14:paraId="6BE02D6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D9FFC9">
            <w:pPr>
              <w:spacing w:line="240" w:lineRule="auto"/>
              <w:ind w:firstLine="0" w:firstLineChars="0"/>
              <w:jc w:val="center"/>
              <w:rPr>
                <w:sz w:val="21"/>
                <w:szCs w:val="21"/>
              </w:rPr>
            </w:pPr>
            <w:r>
              <w:rPr>
                <w:rFonts w:hint="eastAsia"/>
                <w:sz w:val="21"/>
                <w:szCs w:val="21"/>
              </w:rPr>
              <w:t>道路等级</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F369E42">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D621475">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6B7951C">
            <w:pPr>
              <w:spacing w:line="240" w:lineRule="auto"/>
              <w:ind w:firstLine="0" w:firstLineChars="0"/>
              <w:jc w:val="center"/>
              <w:rPr>
                <w:sz w:val="21"/>
                <w:szCs w:val="21"/>
              </w:rPr>
            </w:pPr>
            <w:r>
              <w:rPr>
                <w:rFonts w:hint="eastAsia"/>
                <w:sz w:val="21"/>
                <w:szCs w:val="21"/>
              </w:rPr>
              <w:t>城市次干路</w:t>
            </w:r>
          </w:p>
        </w:tc>
      </w:tr>
      <w:tr w14:paraId="25497385">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39FD1E">
            <w:pPr>
              <w:spacing w:line="240" w:lineRule="auto"/>
              <w:ind w:firstLine="0" w:firstLineChars="0"/>
              <w:jc w:val="center"/>
              <w:rPr>
                <w:sz w:val="21"/>
                <w:szCs w:val="21"/>
              </w:rPr>
            </w:pPr>
            <w:r>
              <w:rPr>
                <w:rFonts w:hint="eastAsia"/>
                <w:sz w:val="21"/>
                <w:szCs w:val="21"/>
              </w:rPr>
              <w:t>设计速度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5B02CC2">
            <w:pPr>
              <w:spacing w:line="240" w:lineRule="auto"/>
              <w:ind w:firstLine="0" w:firstLineChars="0"/>
              <w:jc w:val="center"/>
              <w:rPr>
                <w:sz w:val="21"/>
                <w:szCs w:val="21"/>
              </w:rPr>
            </w:pPr>
            <w:r>
              <w:rPr>
                <w:rFonts w:hint="eastAsia"/>
                <w:sz w:val="21"/>
                <w:szCs w:val="21"/>
              </w:rPr>
              <w:t>km</w:t>
            </w:r>
            <w:r>
              <w:rPr>
                <w:sz w:val="21"/>
                <w:szCs w:val="21"/>
              </w:rPr>
              <w:t>/h</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2B1E58B">
            <w:pPr>
              <w:spacing w:line="240" w:lineRule="auto"/>
              <w:ind w:firstLine="0" w:firstLineChars="0"/>
              <w:jc w:val="center"/>
              <w:rPr>
                <w:sz w:val="21"/>
                <w:szCs w:val="21"/>
              </w:rPr>
            </w:pPr>
            <w:r>
              <w:rPr>
                <w:rFonts w:hint="eastAsia"/>
                <w:sz w:val="21"/>
                <w:szCs w:val="21"/>
              </w:rPr>
              <w:t>40/30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DBFE1E2">
            <w:pPr>
              <w:spacing w:line="240" w:lineRule="auto"/>
              <w:ind w:firstLine="0" w:firstLineChars="0"/>
              <w:jc w:val="center"/>
              <w:rPr>
                <w:sz w:val="21"/>
                <w:szCs w:val="21"/>
              </w:rPr>
            </w:pPr>
            <w:r>
              <w:rPr>
                <w:rFonts w:hint="eastAsia"/>
                <w:sz w:val="21"/>
                <w:szCs w:val="21"/>
              </w:rPr>
              <w:t>40</w:t>
            </w:r>
          </w:p>
        </w:tc>
      </w:tr>
      <w:tr w14:paraId="21753CE6">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175AF">
            <w:pPr>
              <w:spacing w:line="240" w:lineRule="auto"/>
              <w:ind w:firstLine="0" w:firstLineChars="0"/>
              <w:jc w:val="center"/>
              <w:rPr>
                <w:sz w:val="21"/>
                <w:szCs w:val="21"/>
              </w:rPr>
            </w:pPr>
            <w:r>
              <w:rPr>
                <w:rFonts w:hint="eastAsia"/>
                <w:sz w:val="21"/>
                <w:szCs w:val="21"/>
              </w:rPr>
              <w:t>路面设计年限</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D6C6F2D">
            <w:pPr>
              <w:spacing w:line="240" w:lineRule="auto"/>
              <w:ind w:firstLine="0" w:firstLineChars="0"/>
              <w:jc w:val="center"/>
              <w:rPr>
                <w:sz w:val="21"/>
                <w:szCs w:val="21"/>
              </w:rPr>
            </w:pPr>
            <w:r>
              <w:rPr>
                <w:rFonts w:hint="eastAsia"/>
                <w:sz w:val="21"/>
                <w:szCs w:val="21"/>
              </w:rPr>
              <w:t>年</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3F1D874">
            <w:pPr>
              <w:spacing w:line="240" w:lineRule="auto"/>
              <w:ind w:firstLine="0" w:firstLineChars="0"/>
              <w:jc w:val="center"/>
              <w:rPr>
                <w:sz w:val="21"/>
                <w:szCs w:val="21"/>
              </w:rPr>
            </w:pPr>
            <w:r>
              <w:rPr>
                <w:sz w:val="21"/>
                <w:szCs w:val="21"/>
              </w:rPr>
              <w:t>15/10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009C271">
            <w:pPr>
              <w:spacing w:line="240" w:lineRule="auto"/>
              <w:ind w:firstLine="0" w:firstLineChars="0"/>
              <w:jc w:val="center"/>
              <w:rPr>
                <w:sz w:val="21"/>
                <w:szCs w:val="21"/>
              </w:rPr>
            </w:pPr>
            <w:r>
              <w:rPr>
                <w:rFonts w:hint="eastAsia"/>
                <w:sz w:val="21"/>
                <w:szCs w:val="21"/>
              </w:rPr>
              <w:t>15</w:t>
            </w:r>
          </w:p>
        </w:tc>
      </w:tr>
      <w:tr w14:paraId="2F0D699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29AE00D9">
            <w:pPr>
              <w:spacing w:line="240" w:lineRule="auto"/>
              <w:ind w:firstLine="0" w:firstLineChars="0"/>
              <w:jc w:val="center"/>
              <w:rPr>
                <w:sz w:val="21"/>
                <w:szCs w:val="21"/>
              </w:rPr>
            </w:pPr>
            <w:r>
              <w:rPr>
                <w:rFonts w:hint="eastAsia"/>
                <w:sz w:val="21"/>
                <w:szCs w:val="21"/>
              </w:rPr>
              <w:t>红线宽度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3634EA4">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3CC99D5">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B365952">
            <w:pPr>
              <w:spacing w:line="240" w:lineRule="auto"/>
              <w:ind w:firstLine="0" w:firstLineChars="0"/>
              <w:jc w:val="center"/>
              <w:rPr>
                <w:sz w:val="21"/>
                <w:szCs w:val="21"/>
              </w:rPr>
            </w:pPr>
            <w:r>
              <w:rPr>
                <w:sz w:val="21"/>
                <w:szCs w:val="21"/>
              </w:rPr>
              <w:t>50</w:t>
            </w:r>
          </w:p>
        </w:tc>
      </w:tr>
      <w:tr w14:paraId="578E55DC">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97C428">
            <w:pPr>
              <w:spacing w:line="240" w:lineRule="auto"/>
              <w:ind w:firstLine="0" w:firstLineChars="0"/>
              <w:jc w:val="center"/>
              <w:rPr>
                <w:sz w:val="21"/>
                <w:szCs w:val="21"/>
              </w:rPr>
            </w:pPr>
            <w:r>
              <w:rPr>
                <w:sz w:val="21"/>
                <w:szCs w:val="21"/>
              </w:rPr>
              <w:t>行车道数</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94CFC43">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97665FE">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E3377F9">
            <w:pPr>
              <w:spacing w:line="240" w:lineRule="auto"/>
              <w:ind w:firstLine="0" w:firstLineChars="0"/>
              <w:jc w:val="center"/>
              <w:rPr>
                <w:sz w:val="21"/>
                <w:szCs w:val="21"/>
              </w:rPr>
            </w:pPr>
            <w:r>
              <w:rPr>
                <w:sz w:val="21"/>
                <w:szCs w:val="21"/>
              </w:rPr>
              <w:t>双向</w:t>
            </w:r>
            <w:r>
              <w:rPr>
                <w:rFonts w:hint="eastAsia"/>
                <w:sz w:val="21"/>
                <w:szCs w:val="21"/>
              </w:rPr>
              <w:t>六</w:t>
            </w:r>
            <w:r>
              <w:rPr>
                <w:sz w:val="21"/>
                <w:szCs w:val="21"/>
              </w:rPr>
              <w:t>车道</w:t>
            </w:r>
          </w:p>
        </w:tc>
      </w:tr>
      <w:tr w14:paraId="61F1B5A3">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80C0ED">
            <w:pPr>
              <w:spacing w:line="240" w:lineRule="auto"/>
              <w:ind w:firstLine="0" w:firstLineChars="0"/>
              <w:jc w:val="center"/>
              <w:rPr>
                <w:sz w:val="21"/>
                <w:szCs w:val="21"/>
              </w:rPr>
            </w:pPr>
            <w:r>
              <w:rPr>
                <w:sz w:val="21"/>
                <w:szCs w:val="21"/>
              </w:rPr>
              <w:t>行车道宽度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875FC13">
            <w:pPr>
              <w:spacing w:line="240" w:lineRule="auto"/>
              <w:ind w:firstLine="0" w:firstLineChars="0"/>
              <w:jc w:val="center"/>
              <w:rPr>
                <w:sz w:val="21"/>
                <w:szCs w:val="21"/>
              </w:rPr>
            </w:pPr>
            <w:r>
              <w:rPr>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1540C51">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06947BC">
            <w:pPr>
              <w:spacing w:line="240" w:lineRule="auto"/>
              <w:ind w:firstLine="0" w:firstLineChars="0"/>
              <w:jc w:val="center"/>
              <w:rPr>
                <w:sz w:val="21"/>
                <w:szCs w:val="21"/>
              </w:rPr>
            </w:pPr>
            <w:r>
              <w:rPr>
                <w:rFonts w:hint="eastAsia"/>
                <w:sz w:val="21"/>
                <w:szCs w:val="21"/>
              </w:rPr>
              <w:t>3.5</w:t>
            </w:r>
          </w:p>
        </w:tc>
      </w:tr>
      <w:tr w14:paraId="60096988">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0D20CDB">
            <w:pPr>
              <w:spacing w:line="240" w:lineRule="auto"/>
              <w:ind w:firstLine="0" w:firstLineChars="0"/>
              <w:jc w:val="center"/>
              <w:rPr>
                <w:sz w:val="21"/>
                <w:szCs w:val="21"/>
              </w:rPr>
            </w:pPr>
            <w:r>
              <w:rPr>
                <w:rFonts w:hint="eastAsia"/>
                <w:sz w:val="21"/>
                <w:szCs w:val="21"/>
              </w:rPr>
              <w:t>平</w:t>
            </w:r>
          </w:p>
          <w:p w14:paraId="6543D8DD">
            <w:pPr>
              <w:spacing w:line="240" w:lineRule="auto"/>
              <w:ind w:firstLine="0" w:firstLineChars="0"/>
              <w:jc w:val="center"/>
              <w:rPr>
                <w:sz w:val="21"/>
                <w:szCs w:val="21"/>
              </w:rPr>
            </w:pPr>
            <w:r>
              <w:rPr>
                <w:rFonts w:hint="eastAsia"/>
                <w:sz w:val="21"/>
                <w:szCs w:val="21"/>
              </w:rPr>
              <w:t>曲线</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6E39609">
            <w:pPr>
              <w:spacing w:line="240" w:lineRule="auto"/>
              <w:ind w:firstLine="0" w:firstLineChars="0"/>
              <w:jc w:val="center"/>
              <w:rPr>
                <w:sz w:val="21"/>
                <w:szCs w:val="21"/>
              </w:rPr>
            </w:pPr>
            <w:r>
              <w:rPr>
                <w:rFonts w:hint="eastAsia"/>
                <w:sz w:val="21"/>
                <w:szCs w:val="21"/>
              </w:rPr>
              <w:t>不设超高最小半径</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3FFCBDC">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73C82AC">
            <w:pPr>
              <w:spacing w:line="240" w:lineRule="auto"/>
              <w:ind w:firstLine="0" w:firstLineChars="0"/>
              <w:jc w:val="center"/>
              <w:rPr>
                <w:sz w:val="21"/>
                <w:szCs w:val="21"/>
              </w:rPr>
            </w:pPr>
            <w:r>
              <w:rPr>
                <w:rFonts w:hint="eastAsia"/>
                <w:sz w:val="21"/>
                <w:szCs w:val="21"/>
              </w:rPr>
              <w:t>300/150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76DF2D3">
            <w:pPr>
              <w:spacing w:line="240" w:lineRule="auto"/>
              <w:ind w:firstLine="0" w:firstLineChars="0"/>
              <w:jc w:val="center"/>
              <w:rPr>
                <w:sz w:val="21"/>
                <w:szCs w:val="21"/>
              </w:rPr>
            </w:pPr>
            <w:r>
              <w:rPr>
                <w:rFonts w:hint="eastAsia"/>
                <w:sz w:val="21"/>
                <w:szCs w:val="21"/>
              </w:rPr>
              <w:t>-</w:t>
            </w:r>
          </w:p>
        </w:tc>
      </w:tr>
      <w:tr w14:paraId="71D89511">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4228149">
            <w:pPr>
              <w:spacing w:line="240" w:lineRule="auto"/>
              <w:ind w:firstLine="0" w:firstLineChars="0"/>
              <w:jc w:val="center"/>
              <w:rPr>
                <w:b/>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AC6C987">
            <w:pPr>
              <w:spacing w:line="240" w:lineRule="auto"/>
              <w:ind w:firstLine="0" w:firstLineChars="0"/>
              <w:jc w:val="center"/>
              <w:rPr>
                <w:sz w:val="21"/>
                <w:szCs w:val="21"/>
              </w:rPr>
            </w:pPr>
            <w:r>
              <w:rPr>
                <w:rFonts w:hint="eastAsia"/>
                <w:sz w:val="21"/>
                <w:szCs w:val="21"/>
              </w:rPr>
              <w:t>圆曲线最小长度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72E0B1F">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C6D7E41">
            <w:pPr>
              <w:spacing w:line="240" w:lineRule="auto"/>
              <w:ind w:firstLine="0" w:firstLineChars="0"/>
              <w:jc w:val="center"/>
              <w:rPr>
                <w:sz w:val="21"/>
                <w:szCs w:val="21"/>
              </w:rPr>
            </w:pPr>
            <w:r>
              <w:rPr>
                <w:rFonts w:hint="eastAsia"/>
                <w:sz w:val="21"/>
                <w:szCs w:val="21"/>
              </w:rPr>
              <w:t>35/25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F913CDC">
            <w:pPr>
              <w:spacing w:line="240" w:lineRule="auto"/>
              <w:ind w:firstLine="0" w:firstLineChars="0"/>
              <w:jc w:val="center"/>
              <w:rPr>
                <w:sz w:val="21"/>
                <w:szCs w:val="21"/>
              </w:rPr>
            </w:pPr>
            <w:r>
              <w:rPr>
                <w:rFonts w:hint="eastAsia"/>
                <w:sz w:val="21"/>
                <w:szCs w:val="21"/>
              </w:rPr>
              <w:t>-</w:t>
            </w:r>
          </w:p>
        </w:tc>
      </w:tr>
      <w:tr w14:paraId="6C555D0D">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CDBA284">
            <w:pPr>
              <w:spacing w:line="240" w:lineRule="auto"/>
              <w:ind w:firstLine="0" w:firstLineChars="0"/>
              <w:jc w:val="center"/>
              <w:rPr>
                <w:b/>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0F666D0">
            <w:pPr>
              <w:spacing w:line="240" w:lineRule="auto"/>
              <w:ind w:firstLine="0" w:firstLineChars="0"/>
              <w:jc w:val="center"/>
              <w:rPr>
                <w:sz w:val="21"/>
                <w:szCs w:val="21"/>
              </w:rPr>
            </w:pPr>
            <w:r>
              <w:rPr>
                <w:rFonts w:hint="eastAsia"/>
                <w:sz w:val="21"/>
                <w:szCs w:val="21"/>
              </w:rPr>
              <w:t>缓和曲线最小长度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7D310A0">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731CCDF">
            <w:pPr>
              <w:spacing w:line="240" w:lineRule="auto"/>
              <w:ind w:firstLine="0" w:firstLineChars="0"/>
              <w:jc w:val="center"/>
              <w:rPr>
                <w:sz w:val="21"/>
                <w:szCs w:val="21"/>
              </w:rPr>
            </w:pPr>
            <w:r>
              <w:rPr>
                <w:rFonts w:hint="eastAsia"/>
                <w:sz w:val="21"/>
                <w:szCs w:val="21"/>
              </w:rPr>
              <w:t>35/25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C8D85DD">
            <w:pPr>
              <w:spacing w:line="240" w:lineRule="auto"/>
              <w:ind w:firstLine="0" w:firstLineChars="0"/>
              <w:jc w:val="center"/>
              <w:rPr>
                <w:sz w:val="21"/>
                <w:szCs w:val="21"/>
              </w:rPr>
            </w:pPr>
            <w:r>
              <w:rPr>
                <w:rFonts w:hint="eastAsia"/>
                <w:sz w:val="21"/>
                <w:szCs w:val="21"/>
              </w:rPr>
              <w:t>-</w:t>
            </w:r>
          </w:p>
        </w:tc>
      </w:tr>
      <w:tr w14:paraId="220787EC">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1DFBFE6">
            <w:pPr>
              <w:spacing w:line="240" w:lineRule="auto"/>
              <w:ind w:firstLine="0" w:firstLineChars="0"/>
              <w:jc w:val="center"/>
              <w:rPr>
                <w:sz w:val="21"/>
                <w:szCs w:val="21"/>
              </w:rPr>
            </w:pPr>
            <w:r>
              <w:rPr>
                <w:rFonts w:hint="eastAsia"/>
                <w:sz w:val="21"/>
                <w:szCs w:val="21"/>
              </w:rPr>
              <w:t>竖</w:t>
            </w:r>
          </w:p>
          <w:p w14:paraId="1FD19DEB">
            <w:pPr>
              <w:spacing w:line="240" w:lineRule="auto"/>
              <w:ind w:firstLine="0" w:firstLineChars="0"/>
              <w:jc w:val="center"/>
              <w:rPr>
                <w:sz w:val="21"/>
                <w:szCs w:val="21"/>
              </w:rPr>
            </w:pPr>
            <w:r>
              <w:rPr>
                <w:rFonts w:hint="eastAsia"/>
                <w:sz w:val="21"/>
                <w:szCs w:val="21"/>
              </w:rPr>
              <w:t>曲</w:t>
            </w:r>
          </w:p>
          <w:p w14:paraId="47A3FF29">
            <w:pPr>
              <w:spacing w:line="240" w:lineRule="auto"/>
              <w:ind w:firstLine="0" w:firstLineChars="0"/>
              <w:jc w:val="center"/>
              <w:rPr>
                <w:b/>
                <w:sz w:val="21"/>
                <w:szCs w:val="21"/>
              </w:rPr>
            </w:pPr>
            <w:r>
              <w:rPr>
                <w:rFonts w:hint="eastAsia"/>
                <w:sz w:val="21"/>
                <w:szCs w:val="21"/>
              </w:rPr>
              <w:t>线</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980A9F9">
            <w:pPr>
              <w:spacing w:line="240" w:lineRule="auto"/>
              <w:ind w:firstLine="0" w:firstLineChars="0"/>
              <w:jc w:val="center"/>
              <w:rPr>
                <w:sz w:val="21"/>
                <w:szCs w:val="21"/>
              </w:rPr>
            </w:pPr>
            <w:r>
              <w:rPr>
                <w:rFonts w:hint="eastAsia"/>
                <w:sz w:val="21"/>
                <w:szCs w:val="21"/>
              </w:rPr>
              <w:t>凸型竖曲线一般最小半径</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805ACBE">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CC0D574">
            <w:pPr>
              <w:spacing w:line="240" w:lineRule="auto"/>
              <w:ind w:firstLine="0" w:firstLineChars="0"/>
              <w:jc w:val="center"/>
              <w:rPr>
                <w:sz w:val="21"/>
                <w:szCs w:val="21"/>
              </w:rPr>
            </w:pPr>
            <w:r>
              <w:rPr>
                <w:rFonts w:hint="eastAsia"/>
                <w:sz w:val="21"/>
                <w:szCs w:val="21"/>
              </w:rPr>
              <w:t>一般值600/极限值400；一般值400/极限值250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CC9BA94">
            <w:pPr>
              <w:spacing w:line="240" w:lineRule="auto"/>
              <w:ind w:firstLine="0" w:firstLineChars="0"/>
              <w:jc w:val="center"/>
              <w:rPr>
                <w:sz w:val="21"/>
                <w:szCs w:val="21"/>
              </w:rPr>
            </w:pPr>
            <w:r>
              <w:rPr>
                <w:sz w:val="21"/>
                <w:szCs w:val="21"/>
              </w:rPr>
              <w:t>8000</w:t>
            </w:r>
          </w:p>
        </w:tc>
      </w:tr>
      <w:tr w14:paraId="05C4D3EF">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5F63F81">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2EEF861">
            <w:pPr>
              <w:spacing w:line="240" w:lineRule="auto"/>
              <w:ind w:firstLine="0" w:firstLineChars="0"/>
              <w:jc w:val="center"/>
              <w:rPr>
                <w:sz w:val="21"/>
                <w:szCs w:val="21"/>
              </w:rPr>
            </w:pPr>
            <w:r>
              <w:rPr>
                <w:rFonts w:hint="eastAsia"/>
                <w:sz w:val="21"/>
                <w:szCs w:val="21"/>
              </w:rPr>
              <w:t>凹型竖曲线一般最小半径</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4BB63C6">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3EF8828">
            <w:pPr>
              <w:spacing w:line="240" w:lineRule="auto"/>
              <w:ind w:firstLine="0" w:firstLineChars="0"/>
              <w:jc w:val="center"/>
              <w:rPr>
                <w:sz w:val="21"/>
                <w:szCs w:val="21"/>
              </w:rPr>
            </w:pPr>
            <w:r>
              <w:rPr>
                <w:rFonts w:hint="eastAsia"/>
                <w:sz w:val="21"/>
                <w:szCs w:val="21"/>
              </w:rPr>
              <w:t>一般值700/极限值450；一般值400/极限值250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7474F94">
            <w:pPr>
              <w:spacing w:line="240" w:lineRule="auto"/>
              <w:ind w:firstLine="0" w:firstLineChars="0"/>
              <w:jc w:val="center"/>
              <w:rPr>
                <w:sz w:val="21"/>
                <w:szCs w:val="21"/>
              </w:rPr>
            </w:pPr>
            <w:r>
              <w:rPr>
                <w:sz w:val="21"/>
                <w:szCs w:val="21"/>
              </w:rPr>
              <w:t>6000</w:t>
            </w:r>
          </w:p>
        </w:tc>
      </w:tr>
      <w:tr w14:paraId="4243724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B033257">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4AF2E7C">
            <w:pPr>
              <w:spacing w:line="240" w:lineRule="auto"/>
              <w:ind w:firstLine="0" w:firstLineChars="0"/>
              <w:jc w:val="center"/>
              <w:rPr>
                <w:sz w:val="21"/>
                <w:szCs w:val="21"/>
              </w:rPr>
            </w:pPr>
            <w:r>
              <w:rPr>
                <w:rFonts w:hint="eastAsia"/>
                <w:sz w:val="21"/>
                <w:szCs w:val="21"/>
              </w:rPr>
              <w:t>最小长度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F97470D">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98DAF3D">
            <w:pPr>
              <w:spacing w:line="240" w:lineRule="auto"/>
              <w:ind w:firstLine="0" w:firstLineChars="0"/>
              <w:jc w:val="center"/>
              <w:rPr>
                <w:sz w:val="21"/>
                <w:szCs w:val="21"/>
              </w:rPr>
            </w:pPr>
            <w:r>
              <w:rPr>
                <w:rFonts w:hint="eastAsia"/>
                <w:sz w:val="21"/>
                <w:szCs w:val="21"/>
              </w:rPr>
              <w:t>一般值90/极限值35，一般值60/极限值25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B889830">
            <w:pPr>
              <w:spacing w:line="240" w:lineRule="auto"/>
              <w:ind w:firstLine="0" w:firstLineChars="0"/>
              <w:jc w:val="center"/>
              <w:rPr>
                <w:sz w:val="21"/>
                <w:szCs w:val="21"/>
              </w:rPr>
            </w:pPr>
            <w:r>
              <w:rPr>
                <w:sz w:val="21"/>
                <w:szCs w:val="21"/>
              </w:rPr>
              <w:t>96.596</w:t>
            </w:r>
          </w:p>
        </w:tc>
      </w:tr>
      <w:tr w14:paraId="3C02EED0">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831B87">
            <w:pPr>
              <w:spacing w:line="240" w:lineRule="auto"/>
              <w:ind w:firstLine="0" w:firstLineChars="0"/>
              <w:jc w:val="center"/>
              <w:rPr>
                <w:sz w:val="21"/>
                <w:szCs w:val="21"/>
              </w:rPr>
            </w:pPr>
            <w:r>
              <w:rPr>
                <w:rFonts w:hint="eastAsia"/>
                <w:sz w:val="21"/>
                <w:szCs w:val="21"/>
              </w:rPr>
              <w:t>最大纵坡度推荐值</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0C3E3CF">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60746E7">
            <w:pPr>
              <w:spacing w:line="240" w:lineRule="auto"/>
              <w:ind w:firstLine="0" w:firstLineChars="0"/>
              <w:jc w:val="center"/>
              <w:rPr>
                <w:sz w:val="21"/>
                <w:szCs w:val="21"/>
              </w:rPr>
            </w:pPr>
            <w:r>
              <w:rPr>
                <w:rFonts w:hint="eastAsia"/>
                <w:sz w:val="21"/>
                <w:szCs w:val="21"/>
              </w:rPr>
              <w:t>6/7</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037E96E">
            <w:pPr>
              <w:spacing w:line="240" w:lineRule="auto"/>
              <w:ind w:firstLine="0" w:firstLineChars="0"/>
              <w:jc w:val="center"/>
              <w:rPr>
                <w:sz w:val="21"/>
                <w:szCs w:val="21"/>
              </w:rPr>
            </w:pPr>
            <w:r>
              <w:rPr>
                <w:sz w:val="21"/>
                <w:szCs w:val="21"/>
              </w:rPr>
              <w:t>3.75</w:t>
            </w:r>
          </w:p>
        </w:tc>
      </w:tr>
      <w:tr w14:paraId="48E67CBE">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4D3426">
            <w:pPr>
              <w:spacing w:line="240" w:lineRule="auto"/>
              <w:ind w:firstLine="0" w:firstLineChars="0"/>
              <w:jc w:val="center"/>
              <w:rPr>
                <w:sz w:val="21"/>
                <w:szCs w:val="21"/>
              </w:rPr>
            </w:pPr>
            <w:r>
              <w:rPr>
                <w:rFonts w:hint="eastAsia"/>
                <w:sz w:val="21"/>
                <w:szCs w:val="21"/>
              </w:rPr>
              <w:t>最小纵坡</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FD64B60">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B169D36">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D99D37D">
            <w:pPr>
              <w:spacing w:line="240" w:lineRule="auto"/>
              <w:ind w:firstLine="0" w:firstLineChars="0"/>
              <w:jc w:val="center"/>
              <w:rPr>
                <w:sz w:val="21"/>
                <w:szCs w:val="21"/>
              </w:rPr>
            </w:pPr>
            <w:r>
              <w:t>2.139</w:t>
            </w:r>
          </w:p>
        </w:tc>
      </w:tr>
      <w:tr w14:paraId="60B8DFC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579070D6">
            <w:pPr>
              <w:spacing w:line="240" w:lineRule="auto"/>
              <w:ind w:firstLine="0" w:firstLineChars="0"/>
              <w:jc w:val="center"/>
              <w:rPr>
                <w:sz w:val="21"/>
                <w:szCs w:val="21"/>
              </w:rPr>
            </w:pPr>
            <w:r>
              <w:rPr>
                <w:rFonts w:hint="eastAsia"/>
                <w:sz w:val="21"/>
                <w:szCs w:val="21"/>
              </w:rPr>
              <w:t>最小坡长</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B45A253">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971292A">
            <w:pPr>
              <w:spacing w:line="240" w:lineRule="auto"/>
              <w:ind w:firstLine="0" w:firstLineChars="0"/>
              <w:jc w:val="center"/>
              <w:rPr>
                <w:sz w:val="21"/>
                <w:szCs w:val="21"/>
              </w:rPr>
            </w:pPr>
            <w:r>
              <w:rPr>
                <w:rFonts w:hint="eastAsia"/>
                <w:sz w:val="21"/>
                <w:szCs w:val="21"/>
              </w:rPr>
              <w:t>110/85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544F006">
            <w:pPr>
              <w:spacing w:line="240" w:lineRule="auto"/>
              <w:ind w:firstLine="0" w:firstLineChars="0"/>
              <w:jc w:val="center"/>
              <w:rPr>
                <w:sz w:val="21"/>
                <w:szCs w:val="21"/>
              </w:rPr>
            </w:pPr>
            <w:r>
              <w:rPr>
                <w:sz w:val="21"/>
                <w:szCs w:val="21"/>
              </w:rPr>
              <w:t>110</w:t>
            </w:r>
          </w:p>
        </w:tc>
      </w:tr>
      <w:tr w14:paraId="428D3604">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6CFD8E">
            <w:pPr>
              <w:spacing w:line="240" w:lineRule="auto"/>
              <w:ind w:firstLine="0" w:firstLineChars="0"/>
              <w:jc w:val="center"/>
              <w:rPr>
                <w:sz w:val="21"/>
                <w:szCs w:val="21"/>
              </w:rPr>
            </w:pPr>
            <w:r>
              <w:rPr>
                <w:rFonts w:hint="eastAsia"/>
                <w:sz w:val="21"/>
                <w:szCs w:val="21"/>
              </w:rPr>
              <w:t>横坡</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347EF88">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9BCD7B2">
            <w:pPr>
              <w:spacing w:line="240" w:lineRule="auto"/>
              <w:ind w:firstLine="0" w:firstLineChars="0"/>
              <w:jc w:val="center"/>
              <w:rPr>
                <w:sz w:val="21"/>
                <w:szCs w:val="21"/>
              </w:rPr>
            </w:pPr>
            <w:r>
              <w:rPr>
                <w:rFonts w:hint="eastAsia"/>
                <w:sz w:val="21"/>
                <w:szCs w:val="21"/>
              </w:rPr>
              <w:t>1～2</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CABB6B5">
            <w:pPr>
              <w:spacing w:line="240" w:lineRule="auto"/>
              <w:ind w:firstLine="0" w:firstLineChars="0"/>
              <w:jc w:val="center"/>
              <w:rPr>
                <w:sz w:val="21"/>
                <w:szCs w:val="21"/>
              </w:rPr>
            </w:pPr>
            <w:r>
              <w:rPr>
                <w:rFonts w:hint="eastAsia"/>
                <w:sz w:val="21"/>
                <w:szCs w:val="21"/>
              </w:rPr>
              <w:t>2</w:t>
            </w:r>
          </w:p>
        </w:tc>
      </w:tr>
      <w:tr w14:paraId="0ACC88BE">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5DFF62">
            <w:pPr>
              <w:spacing w:line="240" w:lineRule="auto"/>
              <w:ind w:firstLine="0" w:firstLineChars="0"/>
              <w:jc w:val="center"/>
              <w:rPr>
                <w:sz w:val="21"/>
                <w:szCs w:val="21"/>
              </w:rPr>
            </w:pPr>
            <w:r>
              <w:rPr>
                <w:rFonts w:hint="eastAsia"/>
                <w:sz w:val="21"/>
                <w:szCs w:val="21"/>
              </w:rPr>
              <w:t>最大超高横坡度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71B3AD4">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AACA3E5">
            <w:pPr>
              <w:spacing w:line="240" w:lineRule="auto"/>
              <w:ind w:firstLine="0" w:firstLineChars="0"/>
              <w:jc w:val="center"/>
              <w:rPr>
                <w:sz w:val="21"/>
                <w:szCs w:val="21"/>
              </w:rPr>
            </w:pPr>
            <w:r>
              <w:rPr>
                <w:sz w:val="21"/>
                <w:szCs w:val="21"/>
              </w:rPr>
              <w:t>4</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C18499B">
            <w:pPr>
              <w:spacing w:line="240" w:lineRule="auto"/>
              <w:ind w:firstLine="0" w:firstLineChars="0"/>
              <w:jc w:val="center"/>
              <w:rPr>
                <w:sz w:val="21"/>
                <w:szCs w:val="21"/>
              </w:rPr>
            </w:pPr>
            <w:r>
              <w:rPr>
                <w:sz w:val="21"/>
                <w:szCs w:val="21"/>
              </w:rPr>
              <w:t>-</w:t>
            </w:r>
          </w:p>
        </w:tc>
      </w:tr>
      <w:tr w14:paraId="6B9668AC">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A694CC">
            <w:pPr>
              <w:spacing w:line="240" w:lineRule="auto"/>
              <w:ind w:firstLine="0" w:firstLineChars="0"/>
              <w:jc w:val="center"/>
              <w:rPr>
                <w:sz w:val="21"/>
                <w:szCs w:val="21"/>
              </w:rPr>
            </w:pPr>
            <w:r>
              <w:rPr>
                <w:rFonts w:hint="eastAsia"/>
                <w:sz w:val="21"/>
                <w:szCs w:val="21"/>
              </w:rPr>
              <w:t>道路最小净空</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8A743A9">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3DB4CF1">
            <w:pPr>
              <w:spacing w:line="240" w:lineRule="auto"/>
              <w:ind w:firstLine="0" w:firstLineChars="0"/>
              <w:jc w:val="center"/>
              <w:rPr>
                <w:sz w:val="21"/>
                <w:szCs w:val="21"/>
              </w:rPr>
            </w:pPr>
            <w:r>
              <w:rPr>
                <w:rFonts w:hint="eastAsia"/>
                <w:sz w:val="21"/>
                <w:szCs w:val="21"/>
              </w:rPr>
              <w:t>4.5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F2362E9">
            <w:pPr>
              <w:spacing w:line="240" w:lineRule="auto"/>
              <w:ind w:firstLine="0" w:firstLineChars="0"/>
              <w:jc w:val="center"/>
              <w:rPr>
                <w:sz w:val="21"/>
                <w:szCs w:val="21"/>
              </w:rPr>
            </w:pPr>
            <w:r>
              <w:rPr>
                <w:sz w:val="21"/>
                <w:szCs w:val="21"/>
              </w:rPr>
              <w:t>-</w:t>
            </w:r>
          </w:p>
        </w:tc>
      </w:tr>
      <w:tr w14:paraId="1628A97C">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3A7B22">
            <w:pPr>
              <w:spacing w:line="240" w:lineRule="auto"/>
              <w:ind w:firstLine="0" w:firstLineChars="0"/>
              <w:jc w:val="center"/>
              <w:rPr>
                <w:sz w:val="21"/>
                <w:szCs w:val="21"/>
              </w:rPr>
            </w:pPr>
            <w:r>
              <w:rPr>
                <w:rFonts w:hint="eastAsia"/>
                <w:sz w:val="21"/>
                <w:szCs w:val="21"/>
              </w:rPr>
              <w:t>停车视距</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2928983">
            <w:pPr>
              <w:spacing w:line="240" w:lineRule="auto"/>
              <w:ind w:firstLine="0" w:firstLineChars="0"/>
              <w:jc w:val="center"/>
              <w:rPr>
                <w:sz w:val="21"/>
                <w:szCs w:val="21"/>
              </w:rPr>
            </w:pPr>
            <w:r>
              <w:rPr>
                <w:rFonts w:hint="eastAsia"/>
                <w:sz w:val="21"/>
                <w:szCs w:val="21"/>
              </w:rPr>
              <w:t>m</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AB24F57">
            <w:pPr>
              <w:spacing w:line="240" w:lineRule="auto"/>
              <w:ind w:firstLine="0" w:firstLineChars="0"/>
              <w:jc w:val="center"/>
              <w:rPr>
                <w:sz w:val="21"/>
                <w:szCs w:val="21"/>
              </w:rPr>
            </w:pPr>
            <w:r>
              <w:rPr>
                <w:rFonts w:hint="eastAsia"/>
                <w:sz w:val="21"/>
                <w:szCs w:val="21"/>
              </w:rPr>
              <w:t>40/30</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59A93E7">
            <w:pPr>
              <w:spacing w:line="240" w:lineRule="auto"/>
              <w:ind w:firstLine="0" w:firstLineChars="0"/>
              <w:jc w:val="center"/>
              <w:rPr>
                <w:sz w:val="21"/>
                <w:szCs w:val="21"/>
              </w:rPr>
            </w:pPr>
            <w:r>
              <w:rPr>
                <w:rFonts w:hint="eastAsia"/>
                <w:sz w:val="21"/>
                <w:szCs w:val="21"/>
              </w:rPr>
              <w:t>40</w:t>
            </w:r>
          </w:p>
        </w:tc>
      </w:tr>
      <w:tr w14:paraId="7AA0D420">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FAC61A">
            <w:pPr>
              <w:spacing w:line="240" w:lineRule="auto"/>
              <w:ind w:firstLine="0" w:firstLineChars="0"/>
              <w:jc w:val="center"/>
              <w:rPr>
                <w:sz w:val="21"/>
                <w:szCs w:val="21"/>
              </w:rPr>
            </w:pPr>
            <w:r>
              <w:rPr>
                <w:rFonts w:hint="eastAsia"/>
                <w:sz w:val="21"/>
                <w:szCs w:val="21"/>
              </w:rPr>
              <w:t>抗震设防烈度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F8E94EF">
            <w:pPr>
              <w:spacing w:line="240" w:lineRule="auto"/>
              <w:ind w:firstLine="0" w:firstLineChars="0"/>
              <w:jc w:val="center"/>
              <w:rPr>
                <w:sz w:val="21"/>
                <w:szCs w:val="21"/>
              </w:rPr>
            </w:pPr>
            <w:r>
              <w:rPr>
                <w:rFonts w:hint="eastAsia"/>
                <w:sz w:val="21"/>
                <w:szCs w:val="21"/>
              </w:rPr>
              <w:t>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BF46539">
            <w:pPr>
              <w:spacing w:line="240" w:lineRule="auto"/>
              <w:ind w:firstLine="0" w:firstLineChars="0"/>
              <w:jc w:val="center"/>
              <w:rPr>
                <w:sz w:val="21"/>
                <w:szCs w:val="21"/>
              </w:rPr>
            </w:pPr>
            <w:r>
              <w:rPr>
                <w:rFonts w:hint="eastAsia"/>
                <w:sz w:val="21"/>
                <w:szCs w:val="21"/>
              </w:rPr>
              <w:t>按地震烈度VII</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9DC11BA">
            <w:pPr>
              <w:spacing w:line="240" w:lineRule="auto"/>
              <w:ind w:firstLine="0" w:firstLineChars="0"/>
              <w:jc w:val="center"/>
              <w:rPr>
                <w:sz w:val="21"/>
                <w:szCs w:val="21"/>
              </w:rPr>
            </w:pPr>
            <w:r>
              <w:rPr>
                <w:rFonts w:hint="eastAsia"/>
                <w:sz w:val="21"/>
                <w:szCs w:val="21"/>
              </w:rPr>
              <w:t>按地震烈度VII</w:t>
            </w:r>
          </w:p>
        </w:tc>
      </w:tr>
      <w:tr w14:paraId="57053B7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6BB60">
            <w:pPr>
              <w:spacing w:line="240" w:lineRule="auto"/>
              <w:ind w:firstLine="0" w:firstLineChars="0"/>
              <w:jc w:val="center"/>
              <w:rPr>
                <w:sz w:val="21"/>
                <w:szCs w:val="21"/>
              </w:rPr>
            </w:pPr>
            <w:r>
              <w:rPr>
                <w:rFonts w:hint="eastAsia"/>
                <w:sz w:val="21"/>
                <w:szCs w:val="21"/>
              </w:rPr>
              <w:t>地震动峰值加速度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27F0D25">
            <w:pPr>
              <w:spacing w:line="240" w:lineRule="auto"/>
              <w:ind w:firstLine="0" w:firstLineChars="0"/>
              <w:jc w:val="center"/>
              <w:rPr>
                <w:sz w:val="21"/>
                <w:szCs w:val="21"/>
              </w:rPr>
            </w:pPr>
            <w:r>
              <w:rPr>
                <w:rFonts w:hint="eastAsia"/>
                <w:sz w:val="21"/>
                <w:szCs w:val="21"/>
              </w:rPr>
              <w:t>g</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F2811EB">
            <w:pPr>
              <w:spacing w:line="240" w:lineRule="auto"/>
              <w:ind w:firstLine="0" w:firstLineChars="0"/>
              <w:jc w:val="center"/>
              <w:rPr>
                <w:sz w:val="21"/>
                <w:szCs w:val="21"/>
              </w:rPr>
            </w:pPr>
            <w:r>
              <w:rPr>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F44372A">
            <w:pPr>
              <w:spacing w:line="240" w:lineRule="auto"/>
              <w:ind w:firstLine="0" w:firstLineChars="0"/>
              <w:jc w:val="center"/>
              <w:rPr>
                <w:sz w:val="21"/>
                <w:szCs w:val="21"/>
              </w:rPr>
            </w:pPr>
            <w:r>
              <w:rPr>
                <w:rFonts w:hint="eastAsia"/>
                <w:sz w:val="21"/>
                <w:szCs w:val="21"/>
              </w:rPr>
              <w:t>0</w:t>
            </w:r>
            <w:r>
              <w:rPr>
                <w:sz w:val="21"/>
                <w:szCs w:val="21"/>
              </w:rPr>
              <w:t>.5</w:t>
            </w:r>
          </w:p>
        </w:tc>
      </w:tr>
      <w:tr w14:paraId="710540C7">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7EC6618C">
            <w:pPr>
              <w:spacing w:line="240" w:lineRule="auto"/>
              <w:ind w:firstLine="0" w:firstLineChars="0"/>
              <w:jc w:val="center"/>
              <w:rPr>
                <w:sz w:val="21"/>
                <w:szCs w:val="21"/>
              </w:rPr>
            </w:pPr>
            <w:r>
              <w:rPr>
                <w:rFonts w:hint="eastAsia"/>
                <w:sz w:val="21"/>
                <w:szCs w:val="21"/>
              </w:rPr>
              <w:t>路面计算荷载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B992F99">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EC3BE3F">
            <w:pPr>
              <w:spacing w:line="240" w:lineRule="auto"/>
              <w:ind w:firstLine="0" w:firstLineChars="0"/>
              <w:jc w:val="center"/>
              <w:rPr>
                <w:sz w:val="21"/>
                <w:szCs w:val="21"/>
              </w:rPr>
            </w:pPr>
            <w:r>
              <w:rPr>
                <w:rFonts w:hint="eastAsia"/>
                <w:sz w:val="21"/>
                <w:szCs w:val="21"/>
              </w:rPr>
              <w:t>BZZ-100型标准车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6666389">
            <w:pPr>
              <w:spacing w:line="240" w:lineRule="auto"/>
              <w:ind w:firstLine="0" w:firstLineChars="0"/>
              <w:jc w:val="center"/>
              <w:rPr>
                <w:sz w:val="21"/>
                <w:szCs w:val="21"/>
              </w:rPr>
            </w:pPr>
            <w:r>
              <w:rPr>
                <w:rFonts w:hint="eastAsia"/>
                <w:sz w:val="21"/>
                <w:szCs w:val="21"/>
              </w:rPr>
              <w:t>BZZ-100型标准车</w:t>
            </w:r>
          </w:p>
        </w:tc>
      </w:tr>
      <w:tr w14:paraId="41A8DB38">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71931377">
            <w:pPr>
              <w:spacing w:line="240" w:lineRule="auto"/>
              <w:ind w:firstLine="0" w:firstLineChars="0"/>
              <w:jc w:val="center"/>
              <w:rPr>
                <w:sz w:val="21"/>
                <w:szCs w:val="21"/>
              </w:rPr>
            </w:pPr>
            <w:r>
              <w:rPr>
                <w:rFonts w:hint="eastAsia"/>
                <w:sz w:val="21"/>
                <w:szCs w:val="21"/>
              </w:rPr>
              <w:t>交通等级</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25EC221">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84A363D">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20FC296">
            <w:pPr>
              <w:spacing w:line="240" w:lineRule="auto"/>
              <w:ind w:firstLine="0" w:firstLineChars="0"/>
              <w:jc w:val="center"/>
              <w:rPr>
                <w:sz w:val="21"/>
                <w:szCs w:val="21"/>
              </w:rPr>
            </w:pPr>
            <w:r>
              <w:rPr>
                <w:rFonts w:hint="eastAsia"/>
                <w:sz w:val="21"/>
                <w:szCs w:val="21"/>
              </w:rPr>
              <w:t>重</w:t>
            </w:r>
          </w:p>
        </w:tc>
      </w:tr>
      <w:tr w14:paraId="15A4599B">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05EECE50">
            <w:pPr>
              <w:spacing w:line="240" w:lineRule="auto"/>
              <w:ind w:firstLine="0" w:firstLineChars="0"/>
              <w:jc w:val="center"/>
              <w:rPr>
                <w:sz w:val="21"/>
                <w:szCs w:val="21"/>
              </w:rPr>
            </w:pPr>
            <w:r>
              <w:rPr>
                <w:rFonts w:hint="eastAsia"/>
                <w:sz w:val="21"/>
                <w:szCs w:val="21"/>
              </w:rPr>
              <w:t>路面面层类型</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56D73CF">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3008E23">
            <w:pPr>
              <w:spacing w:line="240" w:lineRule="auto"/>
              <w:ind w:firstLine="0" w:firstLineChars="0"/>
              <w:jc w:val="center"/>
              <w:rPr>
                <w:sz w:val="21"/>
                <w:szCs w:val="21"/>
              </w:rPr>
            </w:pPr>
            <w:r>
              <w:rPr>
                <w:rFonts w:hint="eastAsia"/>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759A890">
            <w:pPr>
              <w:spacing w:line="240" w:lineRule="auto"/>
              <w:ind w:firstLine="0" w:firstLineChars="0"/>
              <w:jc w:val="center"/>
              <w:rPr>
                <w:sz w:val="21"/>
                <w:szCs w:val="21"/>
              </w:rPr>
            </w:pPr>
            <w:r>
              <w:rPr>
                <w:rFonts w:hint="eastAsia"/>
                <w:sz w:val="21"/>
                <w:szCs w:val="21"/>
              </w:rPr>
              <w:t>沥青混凝土</w:t>
            </w:r>
          </w:p>
        </w:tc>
      </w:tr>
      <w:tr w14:paraId="22B267C2">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0E591D">
            <w:pPr>
              <w:spacing w:line="240" w:lineRule="auto"/>
              <w:ind w:firstLine="0" w:firstLineChars="0"/>
              <w:jc w:val="center"/>
              <w:rPr>
                <w:sz w:val="21"/>
                <w:szCs w:val="21"/>
              </w:rPr>
            </w:pPr>
            <w:r>
              <w:rPr>
                <w:rFonts w:hint="eastAsia"/>
                <w:sz w:val="21"/>
                <w:szCs w:val="21"/>
              </w:rPr>
              <w:t>设计暴雨重现期</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A7D8428">
            <w:pPr>
              <w:spacing w:line="240" w:lineRule="auto"/>
              <w:ind w:firstLine="0" w:firstLineChars="0"/>
              <w:jc w:val="center"/>
              <w:rPr>
                <w:sz w:val="21"/>
                <w:szCs w:val="21"/>
              </w:rPr>
            </w:pPr>
            <w:r>
              <w:rPr>
                <w:rFonts w:hint="eastAsia"/>
                <w:sz w:val="21"/>
                <w:szCs w:val="21"/>
              </w:rPr>
              <w:t>年</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C43A51D">
            <w:pPr>
              <w:spacing w:line="240" w:lineRule="auto"/>
              <w:ind w:firstLine="0" w:firstLineChars="0"/>
              <w:jc w:val="center"/>
              <w:rPr>
                <w:sz w:val="21"/>
                <w:szCs w:val="21"/>
              </w:rPr>
            </w:pPr>
            <w:r>
              <w:rPr>
                <w:sz w:val="21"/>
                <w:szCs w:val="21"/>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A21EDF4">
            <w:pPr>
              <w:spacing w:line="240" w:lineRule="auto"/>
              <w:ind w:firstLine="0" w:firstLineChars="0"/>
              <w:jc w:val="center"/>
              <w:rPr>
                <w:sz w:val="21"/>
                <w:szCs w:val="21"/>
              </w:rPr>
            </w:pPr>
            <w:r>
              <w:rPr>
                <w:sz w:val="21"/>
                <w:szCs w:val="21"/>
              </w:rPr>
              <w:t>10</w:t>
            </w:r>
          </w:p>
        </w:tc>
      </w:tr>
      <w:tr w14:paraId="0CBAA5B1">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24B3C753">
            <w:pPr>
              <w:spacing w:line="240" w:lineRule="auto"/>
              <w:ind w:firstLine="0" w:firstLineChars="0"/>
              <w:jc w:val="center"/>
              <w:rPr>
                <w:sz w:val="21"/>
                <w:szCs w:val="21"/>
              </w:rPr>
            </w:pPr>
            <w:r>
              <w:rPr>
                <w:rFonts w:hint="eastAsia"/>
                <w:sz w:val="21"/>
                <w:szCs w:val="21"/>
              </w:rPr>
              <w:t>路面结构设计使用年限</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FF28D33">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71FB365">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63209AC">
            <w:pPr>
              <w:spacing w:line="240" w:lineRule="auto"/>
              <w:ind w:firstLine="0" w:firstLineChars="0"/>
              <w:jc w:val="center"/>
              <w:rPr>
                <w:sz w:val="21"/>
                <w:szCs w:val="21"/>
              </w:rPr>
            </w:pPr>
            <w:r>
              <w:rPr>
                <w:rFonts w:hint="eastAsia"/>
                <w:sz w:val="21"/>
                <w:szCs w:val="21"/>
              </w:rPr>
              <w:t>1</w:t>
            </w:r>
            <w:r>
              <w:rPr>
                <w:sz w:val="21"/>
                <w:szCs w:val="21"/>
              </w:rPr>
              <w:t>5</w:t>
            </w:r>
          </w:p>
        </w:tc>
      </w:tr>
      <w:tr w14:paraId="2E0D71AF">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242DAB52">
            <w:pPr>
              <w:spacing w:line="240" w:lineRule="auto"/>
              <w:ind w:firstLine="0" w:firstLineChars="0"/>
              <w:jc w:val="center"/>
              <w:rPr>
                <w:sz w:val="21"/>
                <w:szCs w:val="21"/>
              </w:rPr>
            </w:pPr>
            <w:r>
              <w:rPr>
                <w:rFonts w:hint="eastAsia"/>
                <w:sz w:val="21"/>
                <w:szCs w:val="21"/>
              </w:rPr>
              <w:t>防洪标准</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7122928">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EC19821">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3F61775">
            <w:pPr>
              <w:spacing w:line="240" w:lineRule="auto"/>
              <w:ind w:firstLine="0" w:firstLineChars="0"/>
              <w:jc w:val="center"/>
              <w:rPr>
                <w:sz w:val="21"/>
                <w:szCs w:val="21"/>
              </w:rPr>
            </w:pPr>
          </w:p>
        </w:tc>
      </w:tr>
      <w:tr w14:paraId="69F57D20">
        <w:tblPrEx>
          <w:tblBorders>
            <w:top w:val="thinThickSmallGap" w:color="auto" w:sz="18" w:space="0"/>
            <w:left w:val="thinThickSmallGap" w:color="auto" w:sz="18" w:space="0"/>
            <w:bottom w:val="thickThinSmallGap" w:color="auto" w:sz="18" w:space="0"/>
            <w:right w:val="thickThinSmallGap" w:color="auto" w:sz="18" w:space="0"/>
            <w:insideH w:val="single" w:color="auto" w:sz="6" w:space="0"/>
            <w:insideV w:val="single" w:color="auto" w:sz="6" w:space="0"/>
          </w:tblBorders>
          <w:shd w:val="clear" w:color="auto" w:fill="auto"/>
          <w:tblCellMar>
            <w:top w:w="0" w:type="dxa"/>
            <w:left w:w="108" w:type="dxa"/>
            <w:bottom w:w="0" w:type="dxa"/>
            <w:right w:w="108" w:type="dxa"/>
          </w:tblCellMar>
        </w:tblPrEx>
        <w:trPr>
          <w:trHeight w:val="397"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2EC81BA8">
            <w:pPr>
              <w:spacing w:line="240" w:lineRule="auto"/>
              <w:ind w:firstLine="0" w:firstLineChars="0"/>
              <w:jc w:val="center"/>
              <w:rPr>
                <w:sz w:val="21"/>
                <w:szCs w:val="21"/>
              </w:rPr>
            </w:pPr>
            <w:r>
              <w:rPr>
                <w:rFonts w:hint="eastAsia"/>
                <w:sz w:val="21"/>
                <w:szCs w:val="21"/>
              </w:rPr>
              <w:t>防洪水位</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DD9C1A4">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5E6809A">
            <w:pPr>
              <w:spacing w:line="240" w:lineRule="auto"/>
              <w:ind w:firstLine="0" w:firstLineChars="0"/>
              <w:jc w:val="center"/>
              <w:rPr>
                <w:sz w:val="21"/>
                <w:szCs w:val="21"/>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6E06D7C">
            <w:pPr>
              <w:spacing w:line="240" w:lineRule="auto"/>
              <w:ind w:firstLine="0" w:firstLineChars="0"/>
              <w:jc w:val="center"/>
              <w:rPr>
                <w:sz w:val="21"/>
                <w:szCs w:val="21"/>
              </w:rPr>
            </w:pPr>
          </w:p>
        </w:tc>
      </w:tr>
    </w:tbl>
    <w:p w14:paraId="7D0F8BE6">
      <w:pPr>
        <w:pStyle w:val="5"/>
        <w:spacing w:before="163" w:after="163"/>
        <w:ind w:firstLine="560"/>
      </w:pPr>
      <w:bookmarkStart w:id="100" w:name="_Toc20134"/>
      <w:bookmarkStart w:id="101" w:name="_Toc68620626"/>
      <w:bookmarkStart w:id="102" w:name="_Toc71703570"/>
      <w:r>
        <w:rPr>
          <w:rFonts w:hint="eastAsia"/>
        </w:rPr>
        <w:t>平面设计</w:t>
      </w:r>
      <w:bookmarkEnd w:id="100"/>
      <w:bookmarkEnd w:id="101"/>
      <w:bookmarkEnd w:id="102"/>
    </w:p>
    <w:p w14:paraId="56A3D552">
      <w:pPr>
        <w:pStyle w:val="6"/>
        <w:ind w:firstLine="480"/>
        <w:rPr>
          <w:b w:val="0"/>
          <w:bCs w:val="0"/>
        </w:rPr>
      </w:pPr>
      <w:r>
        <w:rPr>
          <w:rFonts w:hint="eastAsia"/>
          <w:b w:val="0"/>
          <w:bCs w:val="0"/>
        </w:rPr>
        <w:t>总体平面设计方案</w:t>
      </w:r>
    </w:p>
    <w:p w14:paraId="663B9796">
      <w:pPr>
        <w:snapToGrid w:val="0"/>
        <w:spacing w:before="72"/>
        <w:ind w:firstLine="480"/>
      </w:pPr>
      <w:r>
        <w:rPr>
          <w:rFonts w:hint="eastAsia"/>
          <w:snapToGrid w:val="0"/>
        </w:rPr>
        <w:t>根据规划及项目征地红线，</w:t>
      </w:r>
      <w:r>
        <w:rPr>
          <w:rFonts w:hint="eastAsia"/>
          <w:spacing w:val="1"/>
        </w:rPr>
        <w:t>本项目有</w:t>
      </w:r>
      <w:r>
        <w:rPr>
          <w:spacing w:val="1"/>
        </w:rPr>
        <w:t>1</w:t>
      </w:r>
      <w:r>
        <w:rPr>
          <w:rFonts w:hint="eastAsia"/>
          <w:spacing w:val="1"/>
        </w:rPr>
        <w:t>条市政道路纳入一期工程建设范围，为永安东路（机场北进场路至支路四）</w:t>
      </w:r>
      <w:r>
        <w:rPr>
          <w:rFonts w:hint="eastAsia"/>
        </w:rPr>
        <w:t>。</w:t>
      </w:r>
    </w:p>
    <w:p w14:paraId="3BB8BADB">
      <w:pPr>
        <w:snapToGrid w:val="0"/>
        <w:ind w:firstLine="482"/>
        <w:rPr>
          <w:rFonts w:hint="default" w:eastAsia="宋体"/>
          <w:lang w:val="en-US" w:eastAsia="zh-CN"/>
        </w:rPr>
      </w:pPr>
      <w:r>
        <w:rPr>
          <w:rFonts w:hint="eastAsia"/>
          <w:spacing w:val="1"/>
        </w:rPr>
        <w:t>永安东路西起机场北进场路，东至支路四，全长为</w:t>
      </w:r>
      <w:r>
        <w:rPr>
          <w:rFonts w:ascii="宋体" w:hAnsi="宋体"/>
        </w:rPr>
        <w:t>302.271</w:t>
      </w:r>
      <w:r>
        <w:rPr>
          <w:rFonts w:hint="eastAsia"/>
          <w:spacing w:val="1"/>
        </w:rPr>
        <w:t>m，红线宽度</w:t>
      </w:r>
      <w:r>
        <w:rPr>
          <w:rFonts w:hint="eastAsia"/>
        </w:rPr>
        <w:t>为</w:t>
      </w:r>
      <w:r>
        <w:rPr>
          <w:spacing w:val="1"/>
        </w:rPr>
        <w:t>50m</w:t>
      </w:r>
      <w:r>
        <w:rPr>
          <w:rFonts w:hint="eastAsia"/>
          <w:spacing w:val="1"/>
        </w:rPr>
        <w:t>，采</w:t>
      </w:r>
      <w:r>
        <w:rPr>
          <w:rFonts w:hint="eastAsia"/>
          <w:spacing w:val="3"/>
        </w:rPr>
        <w:t>用城市次干路标准设计，设计时速</w:t>
      </w:r>
      <w:r>
        <w:rPr>
          <w:rFonts w:hint="eastAsia"/>
          <w:spacing w:val="2"/>
        </w:rPr>
        <w:t>为</w:t>
      </w:r>
      <w:r>
        <w:t>40km/h,</w:t>
      </w:r>
      <w:r>
        <w:rPr>
          <w:rFonts w:hint="eastAsia"/>
          <w:spacing w:val="4"/>
        </w:rPr>
        <w:t>双向六车道。</w:t>
      </w:r>
      <w:r>
        <w:rPr>
          <w:rFonts w:hint="eastAsia"/>
          <w:b/>
          <w:bCs/>
          <w:spacing w:val="4"/>
          <w:lang w:val="en-US" w:eastAsia="zh-CN"/>
        </w:rPr>
        <w:t>本次设计范围为永安东路左半幅K0+259.439~K0+350.367，长度约90.9m。</w:t>
      </w:r>
    </w:p>
    <w:p w14:paraId="24F563D2">
      <w:pPr>
        <w:ind w:firstLine="480"/>
      </w:pPr>
      <w:r>
        <w:rPr>
          <w:rFonts w:hint="eastAsia"/>
        </w:rPr>
        <w:t>根据相关规划，并结合地形及现场实际情况，本项目设计道路中心线与道路规划中线一致。路线平面各项指标满足《城市道路工程设计规范》要求。线形设计连续、均衡，并与周边地形、环境相适应。</w:t>
      </w:r>
    </w:p>
    <w:p w14:paraId="75032B01">
      <w:pPr>
        <w:pStyle w:val="5"/>
        <w:spacing w:before="163" w:after="163"/>
        <w:ind w:firstLine="560"/>
      </w:pPr>
      <w:bookmarkStart w:id="103" w:name="_Toc71703571"/>
      <w:bookmarkStart w:id="104" w:name="_Toc3671"/>
      <w:bookmarkStart w:id="105" w:name="_Toc68620627"/>
      <w:r>
        <w:rPr>
          <w:rFonts w:hint="eastAsia"/>
        </w:rPr>
        <w:t>纵断面设计</w:t>
      </w:r>
      <w:bookmarkEnd w:id="103"/>
      <w:bookmarkEnd w:id="104"/>
      <w:bookmarkEnd w:id="105"/>
    </w:p>
    <w:p w14:paraId="396EF4B7">
      <w:pPr>
        <w:pStyle w:val="6"/>
        <w:ind w:firstLine="480"/>
        <w:rPr>
          <w:b w:val="0"/>
          <w:bCs w:val="0"/>
        </w:rPr>
      </w:pPr>
      <w:r>
        <w:rPr>
          <w:rFonts w:hint="eastAsia"/>
          <w:b w:val="0"/>
          <w:bCs w:val="0"/>
        </w:rPr>
        <w:t>纵断面设计方案</w:t>
      </w:r>
    </w:p>
    <w:p w14:paraId="43E470C4">
      <w:pPr>
        <w:ind w:firstLine="480"/>
        <w:rPr>
          <w:rFonts w:hint="default"/>
          <w:lang w:val="en-US" w:eastAsia="zh-CN"/>
        </w:rPr>
      </w:pPr>
      <w:r>
        <w:rPr>
          <w:rFonts w:hint="eastAsia"/>
          <w:lang w:val="en-US" w:eastAsia="zh-CN"/>
        </w:rPr>
        <w:t>由于广州空港经济区起步区拆迁安置区（花东安置区）一期工程项目已在施工永安东路，为保证道路整体标高接顺，本次道路纵断面设计按照已施工永安东路纵断面。</w:t>
      </w:r>
    </w:p>
    <w:p w14:paraId="373B4DFD">
      <w:pPr>
        <w:ind w:firstLine="480"/>
      </w:pPr>
      <w:r>
        <w:rPr>
          <w:rFonts w:hint="eastAsia"/>
          <w:lang w:val="en-US" w:eastAsia="zh-CN"/>
        </w:rPr>
        <w:t>本次道路</w:t>
      </w:r>
      <w:r>
        <w:rPr>
          <w:rFonts w:hint="eastAsia"/>
        </w:rPr>
        <w:t>起点衔接</w:t>
      </w:r>
      <w:r>
        <w:rPr>
          <w:rFonts w:hint="eastAsia"/>
          <w:lang w:val="en-US" w:eastAsia="zh-CN"/>
        </w:rPr>
        <w:t>永安东路在实施路段，标高控制在约30.611m，</w:t>
      </w:r>
      <w:r>
        <w:rPr>
          <w:rFonts w:hint="eastAsia"/>
        </w:rPr>
        <w:t>终点与规划控制标高2</w:t>
      </w:r>
      <w:r>
        <w:t>8m</w:t>
      </w:r>
      <w:r>
        <w:rPr>
          <w:rFonts w:hint="eastAsia"/>
        </w:rPr>
        <w:t>保持一致。永安东路最大纵坡3.</w:t>
      </w:r>
      <w:r>
        <w:t>75</w:t>
      </w:r>
      <w:r>
        <w:rPr>
          <w:rFonts w:hint="eastAsia"/>
        </w:rPr>
        <w:t>%；最小纵坡</w:t>
      </w:r>
      <w:r>
        <w:t>2.139</w:t>
      </w:r>
      <w:r>
        <w:rPr>
          <w:rFonts w:hint="eastAsia"/>
        </w:rPr>
        <w:t>%。</w:t>
      </w:r>
    </w:p>
    <w:p w14:paraId="0104219A">
      <w:pPr>
        <w:ind w:firstLine="480"/>
      </w:pPr>
      <w:r>
        <w:rPr>
          <w:rFonts w:hint="eastAsia"/>
        </w:rPr>
        <w:t>具体详见道路纵断面设计图。</w:t>
      </w:r>
    </w:p>
    <w:p w14:paraId="1689D4E8">
      <w:pPr>
        <w:pStyle w:val="5"/>
        <w:spacing w:before="163" w:after="163"/>
        <w:ind w:firstLine="560"/>
      </w:pPr>
      <w:bookmarkStart w:id="106" w:name="_Toc68620628"/>
      <w:bookmarkStart w:id="107" w:name="_Toc71703572"/>
      <w:bookmarkStart w:id="108" w:name="_Toc71"/>
      <w:r>
        <w:rPr>
          <w:rFonts w:hint="eastAsia"/>
        </w:rPr>
        <w:t>横断面设计</w:t>
      </w:r>
      <w:bookmarkEnd w:id="106"/>
      <w:bookmarkEnd w:id="107"/>
      <w:bookmarkEnd w:id="108"/>
    </w:p>
    <w:p w14:paraId="6BE76403">
      <w:pPr>
        <w:pStyle w:val="6"/>
        <w:ind w:firstLine="480"/>
        <w:rPr>
          <w:b w:val="0"/>
          <w:bCs w:val="0"/>
        </w:rPr>
      </w:pPr>
      <w:r>
        <w:rPr>
          <w:rFonts w:hint="eastAsia"/>
          <w:b w:val="0"/>
          <w:bCs w:val="0"/>
        </w:rPr>
        <w:t>横断面设计方案</w:t>
      </w:r>
    </w:p>
    <w:p w14:paraId="16F320FB">
      <w:pPr>
        <w:ind w:firstLine="480"/>
      </w:pPr>
      <w:r>
        <w:rPr>
          <w:rFonts w:hint="eastAsia"/>
          <w:lang w:val="en-US" w:eastAsia="zh-CN"/>
        </w:rPr>
        <w:t>本次永安东路横断面参考</w:t>
      </w:r>
      <w:r>
        <w:rPr>
          <w:rFonts w:hint="eastAsia"/>
        </w:rPr>
        <w:t>在建的永安东路进行设计。</w:t>
      </w:r>
    </w:p>
    <w:p w14:paraId="0844EF8A">
      <w:pPr>
        <w:ind w:firstLine="480"/>
      </w:pPr>
      <w:r>
        <w:rPr>
          <w:rFonts w:hint="eastAsia"/>
          <w:lang w:val="en-US" w:eastAsia="zh-CN"/>
        </w:rPr>
        <w:t>在建</w:t>
      </w:r>
      <w:r>
        <w:rPr>
          <w:rFonts w:hint="eastAsia"/>
        </w:rPr>
        <w:t>永安东路标准横断面：</w:t>
      </w:r>
      <w:r>
        <w:t>3.4</w:t>
      </w:r>
      <w:r>
        <w:rPr>
          <w:rFonts w:hint="eastAsia"/>
        </w:rPr>
        <w:t>m人行道+</w:t>
      </w:r>
      <w:r>
        <w:t>2</w:t>
      </w:r>
      <w:r>
        <w:rPr>
          <w:rFonts w:hint="eastAsia"/>
        </w:rPr>
        <w:t>.</w:t>
      </w:r>
      <w:r>
        <w:t>5m</w:t>
      </w:r>
      <w:r>
        <w:rPr>
          <w:rFonts w:hint="eastAsia"/>
        </w:rPr>
        <w:t>非机动车道+</w:t>
      </w:r>
      <w:r>
        <w:t>1.5m</w:t>
      </w:r>
      <w:r>
        <w:rPr>
          <w:rFonts w:hint="eastAsia"/>
        </w:rPr>
        <w:t>侧绿化带</w:t>
      </w:r>
      <w:r>
        <w:t>+11.0</w:t>
      </w:r>
      <w:r>
        <w:rPr>
          <w:rFonts w:hint="eastAsia"/>
        </w:rPr>
        <w:t>m机动车道+</w:t>
      </w:r>
      <w:r>
        <w:t>13.2</w:t>
      </w:r>
      <w:r>
        <w:rPr>
          <w:rFonts w:hint="eastAsia"/>
        </w:rPr>
        <w:t>m中央分隔带+</w:t>
      </w:r>
      <w:r>
        <w:t>11.0</w:t>
      </w:r>
      <w:r>
        <w:rPr>
          <w:rFonts w:hint="eastAsia"/>
        </w:rPr>
        <w:t>m机动车道+</w:t>
      </w:r>
      <w:r>
        <w:t>1.5m</w:t>
      </w:r>
      <w:r>
        <w:rPr>
          <w:rFonts w:hint="eastAsia"/>
        </w:rPr>
        <w:t>侧绿化带</w:t>
      </w:r>
      <w:r>
        <w:t>+2</w:t>
      </w:r>
      <w:r>
        <w:rPr>
          <w:rFonts w:hint="eastAsia"/>
        </w:rPr>
        <w:t>.</w:t>
      </w:r>
      <w:r>
        <w:t>5m非机动车道+3.4m</w:t>
      </w:r>
      <w:r>
        <w:rPr>
          <w:rFonts w:hint="eastAsia"/>
        </w:rPr>
        <w:t>人行道=50.0m（红线宽度为5</w:t>
      </w:r>
      <w:r>
        <w:t>0m</w:t>
      </w:r>
      <w:r>
        <w:rPr>
          <w:rFonts w:hint="eastAsia"/>
        </w:rPr>
        <w:t>）。</w:t>
      </w:r>
    </w:p>
    <w:p w14:paraId="57A63701">
      <w:pPr>
        <w:ind w:firstLine="0" w:firstLineChars="0"/>
        <w:jc w:val="center"/>
      </w:pPr>
      <w:r>
        <w:drawing>
          <wp:inline distT="0" distB="0" distL="0" distR="0">
            <wp:extent cx="6264275" cy="2209165"/>
            <wp:effectExtent l="0" t="0" r="0" b="0"/>
            <wp:docPr id="2" name="图片 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 工程绘图&#10;&#10;描述已自动生成"/>
                    <pic:cNvPicPr>
                      <a:picLocks noChangeAspect="1"/>
                    </pic:cNvPicPr>
                  </pic:nvPicPr>
                  <pic:blipFill>
                    <a:blip r:embed="rId38"/>
                    <a:srcRect t="3997" b="18743"/>
                    <a:stretch>
                      <a:fillRect/>
                    </a:stretch>
                  </pic:blipFill>
                  <pic:spPr>
                    <a:xfrm>
                      <a:off x="0" y="0"/>
                      <a:ext cx="6264275" cy="2209165"/>
                    </a:xfrm>
                    <a:prstGeom prst="rect">
                      <a:avLst/>
                    </a:prstGeom>
                  </pic:spPr>
                </pic:pic>
              </a:graphicData>
            </a:graphic>
          </wp:inline>
        </w:drawing>
      </w:r>
    </w:p>
    <w:p w14:paraId="1E991235">
      <w:pPr>
        <w:ind w:firstLine="0" w:firstLineChars="0"/>
        <w:jc w:val="center"/>
        <w:rPr>
          <w:rFonts w:hint="eastAsia"/>
          <w:b/>
          <w:bCs/>
        </w:rPr>
      </w:pPr>
      <w:r>
        <w:rPr>
          <w:rFonts w:hint="eastAsia"/>
          <w:b/>
          <w:bCs/>
          <w:lang w:val="en-US" w:eastAsia="zh-CN"/>
        </w:rPr>
        <w:t>在建</w:t>
      </w:r>
      <w:r>
        <w:rPr>
          <w:rFonts w:hint="eastAsia"/>
          <w:b/>
          <w:bCs/>
        </w:rPr>
        <w:t>永安东路标准横断面</w:t>
      </w:r>
    </w:p>
    <w:p w14:paraId="7CEA036C">
      <w:pPr>
        <w:ind w:firstLine="480"/>
        <w:rPr>
          <w:rFonts w:hint="eastAsia"/>
          <w:b/>
          <w:bCs/>
          <w:lang w:val="en-US" w:eastAsia="zh-CN"/>
        </w:rPr>
      </w:pPr>
      <w:r>
        <w:rPr>
          <w:rFonts w:hint="eastAsia"/>
          <w:lang w:val="en-US" w:eastAsia="zh-CN"/>
        </w:rPr>
        <w:t>本次永安东路标准横断面</w:t>
      </w:r>
      <w:r>
        <w:rPr>
          <w:rFonts w:hint="eastAsia"/>
          <w:b/>
          <w:bCs/>
          <w:lang w:val="en-US" w:eastAsia="zh-CN"/>
        </w:rPr>
        <w:t>：</w:t>
      </w:r>
      <w:r>
        <w:t>3.4</w:t>
      </w:r>
      <w:r>
        <w:rPr>
          <w:rFonts w:hint="eastAsia"/>
        </w:rPr>
        <w:t>m人行道+</w:t>
      </w:r>
      <w:r>
        <w:t>2</w:t>
      </w:r>
      <w:r>
        <w:rPr>
          <w:rFonts w:hint="eastAsia"/>
        </w:rPr>
        <w:t>.</w:t>
      </w:r>
      <w:r>
        <w:t>5m</w:t>
      </w:r>
      <w:r>
        <w:rPr>
          <w:rFonts w:hint="eastAsia"/>
        </w:rPr>
        <w:t>非机动车道+</w:t>
      </w:r>
      <w:r>
        <w:t>1.5m</w:t>
      </w:r>
      <w:r>
        <w:rPr>
          <w:rFonts w:hint="eastAsia"/>
        </w:rPr>
        <w:t>侧绿化带</w:t>
      </w:r>
      <w:r>
        <w:t>+11.0</w:t>
      </w:r>
      <w:r>
        <w:rPr>
          <w:rFonts w:hint="eastAsia"/>
        </w:rPr>
        <w:t>m机动车道=</w:t>
      </w:r>
      <w:r>
        <w:rPr>
          <w:rFonts w:hint="eastAsia"/>
          <w:lang w:val="en-US" w:eastAsia="zh-CN"/>
        </w:rPr>
        <w:t>25.0</w:t>
      </w:r>
      <w:r>
        <w:rPr>
          <w:rFonts w:hint="eastAsia"/>
        </w:rPr>
        <w:t>m。</w:t>
      </w:r>
    </w:p>
    <w:p w14:paraId="3A1B6467">
      <w:pPr>
        <w:ind w:firstLine="480"/>
        <w:jc w:val="center"/>
        <w:rPr>
          <w:rFonts w:hint="default"/>
          <w:b/>
          <w:bCs/>
          <w:lang w:val="en-US" w:eastAsia="zh-CN"/>
        </w:rPr>
      </w:pPr>
      <w:r>
        <w:drawing>
          <wp:inline distT="0" distB="0" distL="114300" distR="114300">
            <wp:extent cx="6256655" cy="2621280"/>
            <wp:effectExtent l="0" t="0" r="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39"/>
                    <a:srcRect b="19657"/>
                    <a:stretch>
                      <a:fillRect/>
                    </a:stretch>
                  </pic:blipFill>
                  <pic:spPr>
                    <a:xfrm>
                      <a:off x="0" y="0"/>
                      <a:ext cx="6256655" cy="2621280"/>
                    </a:xfrm>
                    <a:prstGeom prst="rect">
                      <a:avLst/>
                    </a:prstGeom>
                    <a:noFill/>
                    <a:ln>
                      <a:noFill/>
                    </a:ln>
                  </pic:spPr>
                </pic:pic>
              </a:graphicData>
            </a:graphic>
          </wp:inline>
        </w:drawing>
      </w:r>
      <w:r>
        <w:rPr>
          <w:rFonts w:hint="eastAsia"/>
          <w:b/>
          <w:bCs/>
          <w:lang w:val="en-US" w:eastAsia="zh-CN"/>
        </w:rPr>
        <w:t>本项目</w:t>
      </w:r>
      <w:r>
        <w:rPr>
          <w:rFonts w:hint="eastAsia"/>
          <w:b/>
          <w:bCs/>
        </w:rPr>
        <w:t>永安东路标准横断面</w:t>
      </w:r>
    </w:p>
    <w:p w14:paraId="7BAD9681">
      <w:pPr>
        <w:pStyle w:val="5"/>
        <w:spacing w:before="163" w:after="163"/>
        <w:ind w:firstLine="560"/>
      </w:pPr>
      <w:bookmarkStart w:id="109" w:name="_Toc71703573"/>
      <w:bookmarkStart w:id="110" w:name="_Toc68620629"/>
      <w:bookmarkStart w:id="111" w:name="_Toc5404"/>
      <w:r>
        <w:rPr>
          <w:rFonts w:hint="eastAsia"/>
        </w:rPr>
        <w:t>交叉口设计</w:t>
      </w:r>
      <w:bookmarkEnd w:id="109"/>
      <w:bookmarkEnd w:id="110"/>
      <w:bookmarkEnd w:id="111"/>
    </w:p>
    <w:p w14:paraId="5A2BAEDF">
      <w:pPr>
        <w:pStyle w:val="6"/>
        <w:ind w:firstLine="480"/>
        <w:rPr>
          <w:b w:val="0"/>
          <w:bCs w:val="0"/>
        </w:rPr>
      </w:pPr>
      <w:r>
        <w:rPr>
          <w:rFonts w:hint="eastAsia"/>
          <w:b w:val="0"/>
          <w:bCs w:val="0"/>
        </w:rPr>
        <w:t>交叉口平面布置</w:t>
      </w:r>
    </w:p>
    <w:p w14:paraId="58E09526">
      <w:pPr>
        <w:ind w:firstLine="480"/>
      </w:pPr>
      <w:r>
        <w:rPr>
          <w:rFonts w:hint="eastAsia"/>
        </w:rPr>
        <w:t>本项目道路共设置</w:t>
      </w:r>
      <w:r>
        <w:rPr>
          <w:rFonts w:hint="eastAsia"/>
          <w:lang w:val="en-US" w:eastAsia="zh-CN"/>
        </w:rPr>
        <w:t>1</w:t>
      </w:r>
      <w:r>
        <w:rPr>
          <w:rFonts w:hint="eastAsia"/>
        </w:rPr>
        <w:t>个平面交叉。新建道路永安东路与新建道路支路四</w:t>
      </w:r>
      <w:r>
        <w:rPr>
          <w:rFonts w:hint="eastAsia"/>
          <w:lang w:val="en-US" w:eastAsia="zh-CN"/>
        </w:rPr>
        <w:t>临时路“T”字</w:t>
      </w:r>
      <w:r>
        <w:rPr>
          <w:rFonts w:hint="eastAsia"/>
        </w:rPr>
        <w:t>平面交叉，按照设计图纸进行设置。</w:t>
      </w:r>
    </w:p>
    <w:p w14:paraId="3AC6C179">
      <w:pPr>
        <w:ind w:firstLine="0" w:firstLineChars="0"/>
        <w:jc w:val="center"/>
        <w:rPr>
          <w:b/>
          <w:bCs/>
        </w:rPr>
      </w:pPr>
      <w:r>
        <w:rPr>
          <w:rFonts w:hint="eastAsia"/>
          <w:b/>
          <w:bCs/>
        </w:rPr>
        <w:t>主要交叉口设置一览表</w:t>
      </w:r>
    </w:p>
    <w:tbl>
      <w:tblPr>
        <w:tblStyle w:val="116"/>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2972"/>
        <w:gridCol w:w="1409"/>
        <w:gridCol w:w="1993"/>
        <w:gridCol w:w="2812"/>
      </w:tblGrid>
      <w:tr w14:paraId="1D545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69" w:type="dxa"/>
          </w:tcPr>
          <w:p w14:paraId="75F923A8">
            <w:pPr>
              <w:spacing w:line="240" w:lineRule="auto"/>
              <w:ind w:firstLine="0" w:firstLineChars="0"/>
              <w:jc w:val="center"/>
              <w:rPr>
                <w:bCs/>
                <w:sz w:val="21"/>
                <w:szCs w:val="21"/>
              </w:rPr>
            </w:pPr>
            <w:r>
              <w:rPr>
                <w:rFonts w:hint="eastAsia"/>
                <w:bCs/>
                <w:sz w:val="21"/>
                <w:szCs w:val="21"/>
              </w:rPr>
              <w:t>序号</w:t>
            </w:r>
          </w:p>
        </w:tc>
        <w:tc>
          <w:tcPr>
            <w:tcW w:w="2972" w:type="dxa"/>
          </w:tcPr>
          <w:p w14:paraId="71D9E907">
            <w:pPr>
              <w:spacing w:line="240" w:lineRule="auto"/>
              <w:ind w:firstLine="0" w:firstLineChars="0"/>
              <w:jc w:val="center"/>
              <w:rPr>
                <w:bCs/>
                <w:sz w:val="21"/>
                <w:szCs w:val="21"/>
              </w:rPr>
            </w:pPr>
            <w:r>
              <w:rPr>
                <w:rFonts w:hint="eastAsia"/>
                <w:bCs/>
                <w:sz w:val="21"/>
                <w:szCs w:val="21"/>
              </w:rPr>
              <w:t>交叉道路</w:t>
            </w:r>
          </w:p>
        </w:tc>
        <w:tc>
          <w:tcPr>
            <w:tcW w:w="1409" w:type="dxa"/>
          </w:tcPr>
          <w:p w14:paraId="4FCD9B44">
            <w:pPr>
              <w:spacing w:line="240" w:lineRule="auto"/>
              <w:ind w:firstLine="0" w:firstLineChars="0"/>
              <w:jc w:val="center"/>
              <w:rPr>
                <w:bCs/>
                <w:sz w:val="21"/>
                <w:szCs w:val="21"/>
              </w:rPr>
            </w:pPr>
            <w:r>
              <w:rPr>
                <w:rFonts w:hint="eastAsia"/>
                <w:bCs/>
                <w:sz w:val="21"/>
                <w:szCs w:val="21"/>
              </w:rPr>
              <w:t>交叉位置</w:t>
            </w:r>
          </w:p>
        </w:tc>
        <w:tc>
          <w:tcPr>
            <w:tcW w:w="1993" w:type="dxa"/>
          </w:tcPr>
          <w:p w14:paraId="1DCA64EF">
            <w:pPr>
              <w:spacing w:line="240" w:lineRule="auto"/>
              <w:ind w:firstLine="0" w:firstLineChars="0"/>
              <w:jc w:val="center"/>
              <w:rPr>
                <w:bCs/>
                <w:sz w:val="21"/>
                <w:szCs w:val="21"/>
              </w:rPr>
            </w:pPr>
            <w:r>
              <w:rPr>
                <w:rFonts w:hint="eastAsia"/>
                <w:bCs/>
                <w:sz w:val="21"/>
                <w:szCs w:val="21"/>
              </w:rPr>
              <w:t>交叉道路等级</w:t>
            </w:r>
          </w:p>
        </w:tc>
        <w:tc>
          <w:tcPr>
            <w:tcW w:w="2812" w:type="dxa"/>
          </w:tcPr>
          <w:p w14:paraId="788EE782">
            <w:pPr>
              <w:spacing w:line="240" w:lineRule="auto"/>
              <w:ind w:firstLine="0" w:firstLineChars="0"/>
              <w:jc w:val="center"/>
              <w:rPr>
                <w:bCs/>
                <w:sz w:val="21"/>
                <w:szCs w:val="21"/>
              </w:rPr>
            </w:pPr>
            <w:r>
              <w:rPr>
                <w:rFonts w:hint="eastAsia"/>
                <w:bCs/>
                <w:sz w:val="21"/>
                <w:szCs w:val="21"/>
              </w:rPr>
              <w:t>交叉形式</w:t>
            </w:r>
          </w:p>
        </w:tc>
      </w:tr>
      <w:tr w14:paraId="07D1E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69" w:type="dxa"/>
          </w:tcPr>
          <w:p w14:paraId="18E5BDF7">
            <w:pPr>
              <w:spacing w:line="240" w:lineRule="auto"/>
              <w:ind w:firstLine="0" w:firstLineChars="0"/>
              <w:jc w:val="center"/>
              <w:rPr>
                <w:rFonts w:hint="eastAsia" w:eastAsia="宋体"/>
                <w:bCs/>
                <w:sz w:val="21"/>
                <w:szCs w:val="21"/>
                <w:lang w:eastAsia="zh-CN"/>
              </w:rPr>
            </w:pPr>
            <w:r>
              <w:rPr>
                <w:rFonts w:hint="eastAsia"/>
                <w:bCs/>
                <w:sz w:val="21"/>
                <w:szCs w:val="21"/>
                <w:lang w:val="en-US" w:eastAsia="zh-CN"/>
              </w:rPr>
              <w:t>1</w:t>
            </w:r>
          </w:p>
        </w:tc>
        <w:tc>
          <w:tcPr>
            <w:tcW w:w="2972" w:type="dxa"/>
          </w:tcPr>
          <w:p w14:paraId="40B57BB5">
            <w:pPr>
              <w:spacing w:line="240" w:lineRule="auto"/>
              <w:ind w:firstLine="0" w:firstLineChars="0"/>
              <w:jc w:val="center"/>
              <w:rPr>
                <w:bCs/>
                <w:sz w:val="21"/>
                <w:szCs w:val="21"/>
              </w:rPr>
            </w:pPr>
            <w:r>
              <w:rPr>
                <w:rFonts w:hint="eastAsia"/>
                <w:bCs/>
                <w:sz w:val="21"/>
                <w:szCs w:val="21"/>
              </w:rPr>
              <w:t>永安东路与支路四</w:t>
            </w:r>
            <w:r>
              <w:rPr>
                <w:rFonts w:hint="eastAsia"/>
                <w:bCs/>
                <w:sz w:val="21"/>
                <w:szCs w:val="21"/>
                <w:lang w:val="en-US" w:eastAsia="zh-CN"/>
              </w:rPr>
              <w:t>临时路</w:t>
            </w:r>
            <w:r>
              <w:rPr>
                <w:rFonts w:hint="eastAsia"/>
                <w:bCs/>
                <w:sz w:val="21"/>
                <w:szCs w:val="21"/>
              </w:rPr>
              <w:t>交叉</w:t>
            </w:r>
          </w:p>
        </w:tc>
        <w:tc>
          <w:tcPr>
            <w:tcW w:w="1409" w:type="dxa"/>
          </w:tcPr>
          <w:p w14:paraId="0D579377">
            <w:pPr>
              <w:spacing w:line="240" w:lineRule="auto"/>
              <w:ind w:firstLine="0" w:firstLineChars="0"/>
              <w:jc w:val="center"/>
              <w:rPr>
                <w:bCs/>
                <w:sz w:val="21"/>
                <w:szCs w:val="21"/>
              </w:rPr>
            </w:pPr>
            <w:r>
              <w:rPr>
                <w:rFonts w:hint="eastAsia"/>
                <w:bCs/>
                <w:sz w:val="21"/>
                <w:szCs w:val="21"/>
              </w:rPr>
              <w:t>左右侧</w:t>
            </w:r>
          </w:p>
        </w:tc>
        <w:tc>
          <w:tcPr>
            <w:tcW w:w="1993" w:type="dxa"/>
          </w:tcPr>
          <w:p w14:paraId="73C1055C">
            <w:pPr>
              <w:spacing w:line="240" w:lineRule="auto"/>
              <w:ind w:firstLine="0" w:firstLineChars="0"/>
              <w:jc w:val="center"/>
              <w:rPr>
                <w:bCs/>
                <w:sz w:val="21"/>
                <w:szCs w:val="21"/>
              </w:rPr>
            </w:pPr>
            <w:r>
              <w:rPr>
                <w:rFonts w:hint="eastAsia"/>
                <w:bCs/>
                <w:sz w:val="21"/>
                <w:szCs w:val="21"/>
              </w:rPr>
              <w:t>次干路与支路</w:t>
            </w:r>
          </w:p>
        </w:tc>
        <w:tc>
          <w:tcPr>
            <w:tcW w:w="2812" w:type="dxa"/>
          </w:tcPr>
          <w:p w14:paraId="4EF77F0D">
            <w:pPr>
              <w:spacing w:line="240" w:lineRule="auto"/>
              <w:ind w:firstLine="0" w:firstLineChars="0"/>
              <w:jc w:val="center"/>
              <w:rPr>
                <w:bCs/>
                <w:sz w:val="21"/>
                <w:szCs w:val="21"/>
              </w:rPr>
            </w:pPr>
            <w:r>
              <w:rPr>
                <w:rFonts w:hint="eastAsia"/>
                <w:bCs/>
                <w:sz w:val="21"/>
                <w:szCs w:val="21"/>
              </w:rPr>
              <w:t>平面交叉</w:t>
            </w:r>
          </w:p>
        </w:tc>
      </w:tr>
    </w:tbl>
    <w:p w14:paraId="1B8FBC9C">
      <w:pPr>
        <w:pStyle w:val="6"/>
        <w:ind w:firstLine="480"/>
        <w:rPr>
          <w:b w:val="0"/>
          <w:bCs w:val="0"/>
        </w:rPr>
      </w:pPr>
      <w:r>
        <w:rPr>
          <w:rFonts w:hint="eastAsia"/>
          <w:b w:val="0"/>
          <w:bCs w:val="0"/>
        </w:rPr>
        <w:t>交叉口竖向设计</w:t>
      </w:r>
    </w:p>
    <w:p w14:paraId="74435FFF">
      <w:pPr>
        <w:ind w:firstLine="480"/>
      </w:pPr>
      <w:r>
        <w:rPr>
          <w:rFonts w:hint="eastAsia"/>
        </w:rPr>
        <w:t>交叉口竖向设计的目的是保证交叉口路面排水良好，同时也使汽车在交叉口行驶平稳，匀称协调的交叉口竖向设计能使道路景观达到整体美观的效果。</w:t>
      </w:r>
    </w:p>
    <w:p w14:paraId="57C6A3BC">
      <w:pPr>
        <w:ind w:firstLine="480"/>
      </w:pPr>
      <w:r>
        <w:rPr>
          <w:rFonts w:hint="eastAsia"/>
        </w:rPr>
        <w:t>为使交叉口排水顺畅，交叉口范围内排水横坡不小于0.5%，同时道口不为最低点。一般在路缘石切点附近交叉口横坡与路段横坡顺接。</w:t>
      </w:r>
    </w:p>
    <w:p w14:paraId="7A8444ED">
      <w:pPr>
        <w:pStyle w:val="4"/>
        <w:spacing w:before="163" w:after="163"/>
      </w:pPr>
      <w:bookmarkStart w:id="112" w:name="_Toc71703574"/>
      <w:bookmarkStart w:id="113" w:name="_Toc68620630"/>
      <w:bookmarkStart w:id="114" w:name="_Toc23967"/>
      <w:r>
        <w:rPr>
          <w:rFonts w:hint="eastAsia"/>
        </w:rPr>
        <w:t>路基、路面</w:t>
      </w:r>
      <w:bookmarkEnd w:id="112"/>
      <w:bookmarkEnd w:id="113"/>
      <w:r>
        <w:rPr>
          <w:rFonts w:hint="eastAsia"/>
        </w:rPr>
        <w:t>工程</w:t>
      </w:r>
      <w:bookmarkEnd w:id="114"/>
    </w:p>
    <w:p w14:paraId="3F552BF0">
      <w:pPr>
        <w:pStyle w:val="5"/>
        <w:spacing w:before="163" w:after="163"/>
        <w:ind w:firstLine="560"/>
        <w:rPr>
          <w:b/>
          <w:bCs w:val="0"/>
        </w:rPr>
      </w:pPr>
      <w:bookmarkStart w:id="115" w:name="_Toc23108"/>
      <w:r>
        <w:rPr>
          <w:rFonts w:hint="eastAsia"/>
          <w:bCs w:val="0"/>
        </w:rPr>
        <w:t>一般路基设计</w:t>
      </w:r>
      <w:bookmarkEnd w:id="115"/>
    </w:p>
    <w:p w14:paraId="41836922">
      <w:pPr>
        <w:ind w:firstLine="480"/>
      </w:pPr>
      <w:r>
        <w:rPr>
          <w:rFonts w:hint="eastAsia"/>
        </w:rPr>
        <w:t>（1）路基概况</w:t>
      </w:r>
    </w:p>
    <w:p w14:paraId="69651A1C">
      <w:pPr>
        <w:ind w:firstLine="480"/>
      </w:pPr>
      <w:r>
        <w:rPr>
          <w:rFonts w:hint="eastAsia"/>
        </w:rPr>
        <w:t>拟建</w:t>
      </w:r>
      <w:r>
        <w:rPr>
          <w:rFonts w:hint="eastAsia" w:ascii="宋体" w:hAnsi="宋体"/>
          <w:bCs/>
        </w:rPr>
        <w:t>广州空港经济区拆迁安置区（花东安置区）教育配套设施建设项目市政</w:t>
      </w:r>
      <w:r>
        <w:rPr>
          <w:rFonts w:hint="eastAsia"/>
        </w:rPr>
        <w:t>道路</w:t>
      </w:r>
      <w:r>
        <w:rPr>
          <w:rFonts w:hint="eastAsia"/>
          <w:lang w:val="en-US" w:eastAsia="zh-CN"/>
        </w:rPr>
        <w:t>-永安东路</w:t>
      </w:r>
      <w:r>
        <w:rPr>
          <w:rFonts w:hint="eastAsia"/>
        </w:rPr>
        <w:t>等级定位：城市次干道，双向六车道，设计速度为40km/h，红线宽度50m，全线采用沥青混凝土路面结构。抗震设防烈度为7度，地震动峰值加速度系数为0.05g。</w:t>
      </w:r>
    </w:p>
    <w:p w14:paraId="66A79F6D">
      <w:pPr>
        <w:ind w:firstLine="480"/>
      </w:pPr>
      <w:r>
        <w:rPr>
          <w:rFonts w:hint="eastAsia"/>
        </w:rPr>
        <w:t>（2）路基实施界面</w:t>
      </w:r>
    </w:p>
    <w:p w14:paraId="479C1115">
      <w:pPr>
        <w:ind w:left="280" w:right="280" w:firstLine="480"/>
      </w:pPr>
      <w:r>
        <w:rPr>
          <w:rFonts w:hint="eastAsia"/>
        </w:rPr>
        <w:t>本项目为安置区（花东安置区）教育配套设施建设项目市政道路，安置区场地平整至路床顶面标高，再由本项目填筑路基，市政道路与周边地块存在高差的，其</w:t>
      </w:r>
      <w:r>
        <w:rPr>
          <w:rFonts w:hint="eastAsia" w:cs="宋体"/>
        </w:rPr>
        <w:t>边坡防护、支挡加固措施由建筑基坑支护专业负责。</w:t>
      </w:r>
    </w:p>
    <w:p w14:paraId="49482F77">
      <w:pPr>
        <w:ind w:firstLine="480"/>
      </w:pPr>
      <w:r>
        <w:rPr>
          <w:rFonts w:hint="eastAsia"/>
        </w:rPr>
        <w:t>（3）路基设计原则</w:t>
      </w:r>
    </w:p>
    <w:p w14:paraId="7151C417">
      <w:pPr>
        <w:ind w:firstLine="480"/>
      </w:pPr>
      <w:r>
        <w:t>1</w:t>
      </w:r>
      <w:r>
        <w:rPr>
          <w:rFonts w:hint="eastAsia"/>
        </w:rPr>
        <w:t>）路基应密实坚固，路床上部应达到干燥或中湿状态。</w:t>
      </w:r>
    </w:p>
    <w:p w14:paraId="68DC9AB8">
      <w:pPr>
        <w:ind w:firstLine="480"/>
      </w:pPr>
      <w:r>
        <w:t>2</w:t>
      </w:r>
      <w:r>
        <w:rPr>
          <w:rFonts w:hint="eastAsia"/>
        </w:rPr>
        <w:t>）路基应稳定均匀，一般路段和与构造物连接段的工后沉降应满足规范要求。</w:t>
      </w:r>
    </w:p>
    <w:p w14:paraId="72286220">
      <w:pPr>
        <w:ind w:firstLine="480"/>
      </w:pPr>
      <w:r>
        <w:t>3</w:t>
      </w:r>
      <w:r>
        <w:rPr>
          <w:rFonts w:hint="eastAsia"/>
        </w:rPr>
        <w:t>）路基填筑材料要因地制宜，同时也应符合规范制定的填料要求。</w:t>
      </w:r>
    </w:p>
    <w:p w14:paraId="12496B4D">
      <w:pPr>
        <w:ind w:firstLine="480"/>
      </w:pPr>
      <w:r>
        <w:t>4</w:t>
      </w:r>
      <w:r>
        <w:rPr>
          <w:rFonts w:hint="eastAsia"/>
        </w:rPr>
        <w:t>）路基设计应满足工程建设进度与技术经济合理的要求。</w:t>
      </w:r>
    </w:p>
    <w:p w14:paraId="25A61E40">
      <w:pPr>
        <w:ind w:firstLine="480"/>
      </w:pPr>
      <w:r>
        <w:t>5</w:t>
      </w:r>
      <w:r>
        <w:rPr>
          <w:rFonts w:hint="eastAsia"/>
        </w:rPr>
        <w:t>）路基设计满足防洪排涝要求，避免和防止滑坡塌方事故的发生。</w:t>
      </w:r>
    </w:p>
    <w:p w14:paraId="70E33658">
      <w:pPr>
        <w:ind w:firstLine="480"/>
      </w:pPr>
      <w:r>
        <w:t>6</w:t>
      </w:r>
      <w:r>
        <w:rPr>
          <w:rFonts w:hint="eastAsia"/>
        </w:rPr>
        <w:t>）路基应符合环保要求，环境美观。</w:t>
      </w:r>
    </w:p>
    <w:p w14:paraId="57A8B78B">
      <w:pPr>
        <w:ind w:firstLine="480"/>
      </w:pPr>
      <w:r>
        <w:rPr>
          <w:rFonts w:hint="eastAsia"/>
        </w:rPr>
        <w:t>根据区内的地形、地基土的工程性质、路堤填筑高度、宽度、道路等级、填筑材料、荷载大小、地基承载力、稳定安全系数、容许变形值、土质的物理力学性质、周围环境条件、材料来源、施工工期、施工技术条件和经济指标等因素采用合理的路基填筑方式。</w:t>
      </w:r>
    </w:p>
    <w:p w14:paraId="7E9626C9">
      <w:pPr>
        <w:ind w:firstLine="480"/>
      </w:pPr>
      <w:r>
        <w:rPr>
          <w:rFonts w:hint="eastAsia"/>
        </w:rPr>
        <w:t>（4）路基填料</w:t>
      </w:r>
    </w:p>
    <w:p w14:paraId="615ADE4F">
      <w:pPr>
        <w:ind w:firstLine="480"/>
        <w:rPr>
          <w:szCs w:val="24"/>
        </w:rPr>
      </w:pPr>
      <w:r>
        <w:rPr>
          <w:rFonts w:hint="eastAsia"/>
          <w:szCs w:val="24"/>
        </w:rPr>
        <w:t>1）路床填料应均匀、密实，最小强度、最大粒径和压实度符合规定。</w:t>
      </w:r>
    </w:p>
    <w:p w14:paraId="760F6F1D">
      <w:pPr>
        <w:ind w:firstLine="480"/>
      </w:pPr>
      <w:r>
        <w:rPr>
          <w:rFonts w:hint="eastAsia"/>
        </w:rPr>
        <w:t>2）路床填料最大粒径应小于100mm，路床顶面横坡应与路拱横坡一致。</w:t>
      </w:r>
    </w:p>
    <w:p w14:paraId="49269363">
      <w:pPr>
        <w:ind w:firstLine="480"/>
      </w:pPr>
      <w:r>
        <w:rPr>
          <w:rFonts w:hint="eastAsia"/>
        </w:rPr>
        <w:t>3）填方路基应优先选用级配良好的砾类土、砂类土等粗粒土作为填料，最大粒径应小于150mm。</w:t>
      </w:r>
    </w:p>
    <w:p w14:paraId="67F10D83">
      <w:pPr>
        <w:ind w:firstLine="480"/>
        <w:rPr>
          <w:szCs w:val="24"/>
        </w:rPr>
      </w:pPr>
      <w:r>
        <w:rPr>
          <w:rFonts w:hint="eastAsia"/>
          <w:szCs w:val="24"/>
        </w:rPr>
        <w:t>4）泥炭、淤泥、强膨胀土、有机质土及易溶盐超过允许含量的土等，不得直接用于填筑路基。</w:t>
      </w:r>
    </w:p>
    <w:p w14:paraId="25A03E8C">
      <w:pPr>
        <w:ind w:firstLine="480"/>
        <w:rPr>
          <w:szCs w:val="24"/>
        </w:rPr>
      </w:pPr>
      <w:r>
        <w:rPr>
          <w:rFonts w:hint="eastAsia"/>
          <w:szCs w:val="24"/>
        </w:rPr>
        <w:t>5）当采用细粒土填筑时，路堤填料最小强度应满足路基填料最小强度的要求。当路基填料的CBR值达不到表中要求时，可采用掺石灰或其他稳定材料进行处理。</w:t>
      </w:r>
    </w:p>
    <w:p w14:paraId="0F8C402D">
      <w:pPr>
        <w:ind w:firstLine="480"/>
        <w:rPr>
          <w:szCs w:val="24"/>
        </w:rPr>
      </w:pPr>
      <w:r>
        <w:rPr>
          <w:rFonts w:hint="eastAsia"/>
          <w:szCs w:val="24"/>
        </w:rPr>
        <w:t>6）液限大于50%、塑性指数大于26的细土，不得直接作为路堤填料。</w:t>
      </w:r>
    </w:p>
    <w:p w14:paraId="1286C47C">
      <w:pPr>
        <w:ind w:firstLine="480"/>
        <w:rPr>
          <w:szCs w:val="24"/>
        </w:rPr>
      </w:pPr>
      <w:r>
        <w:rPr>
          <w:rFonts w:hint="eastAsia"/>
          <w:szCs w:val="24"/>
        </w:rPr>
        <w:t>7）本项目路堤填料以一般粘土和砂性土为主。</w:t>
      </w:r>
    </w:p>
    <w:p w14:paraId="2E7C6C6F">
      <w:pPr>
        <w:ind w:firstLine="480"/>
      </w:pPr>
      <w:r>
        <w:rPr>
          <w:rFonts w:hint="eastAsia"/>
        </w:rPr>
        <w:t>（5）路基压实</w:t>
      </w:r>
    </w:p>
    <w:p w14:paraId="7658A98D">
      <w:pPr>
        <w:ind w:firstLine="480"/>
        <w:rPr>
          <w:szCs w:val="24"/>
        </w:rPr>
      </w:pPr>
      <w:r>
        <w:rPr>
          <w:rFonts w:hint="eastAsia"/>
          <w:szCs w:val="24"/>
        </w:rPr>
        <w:t>1</w:t>
      </w:r>
      <w:r>
        <w:rPr>
          <w:szCs w:val="24"/>
        </w:rPr>
        <w:t>）</w:t>
      </w:r>
      <w:r>
        <w:rPr>
          <w:rFonts w:hint="eastAsia"/>
          <w:szCs w:val="24"/>
        </w:rPr>
        <w:t>路基应分层铺筑，均匀压实，压实度应符合下表的规定。当采用细粒土作为填料时，土的含水量应接近最佳含水量，当土的含水量过高时，应采取晾晒或掺入石灰、水泥等材料进行处置。</w:t>
      </w:r>
    </w:p>
    <w:p w14:paraId="426D6E26">
      <w:pPr>
        <w:ind w:firstLine="480"/>
      </w:pPr>
      <w:r>
        <w:rPr>
          <w:rFonts w:hint="eastAsia"/>
        </w:rPr>
        <w:t>2</w:t>
      </w:r>
      <w:r>
        <w:t>）</w:t>
      </w:r>
      <w:r>
        <w:rPr>
          <w:rFonts w:hint="eastAsia"/>
        </w:rPr>
        <w:t>路基回填时必须采用分层回填分层压实，压实度应满足《城市道路路基设计规范》（CJJ194-2013）的规定。</w:t>
      </w:r>
    </w:p>
    <w:p w14:paraId="7B277F3E">
      <w:pPr>
        <w:ind w:firstLine="480"/>
      </w:pPr>
      <w:r>
        <w:rPr>
          <w:rFonts w:hint="eastAsia"/>
        </w:rPr>
        <w:t>本项目道路等级为城市次干路，永安东路交通荷载等级为重交通路基压实度（重型）、填料最小强度和填料粒径应符合下表要求。</w:t>
      </w:r>
    </w:p>
    <w:p w14:paraId="35496CC1">
      <w:pPr>
        <w:ind w:firstLine="0" w:firstLineChars="0"/>
        <w:jc w:val="center"/>
        <w:rPr>
          <w:b/>
          <w:bCs/>
        </w:rPr>
      </w:pPr>
      <w:r>
        <w:rPr>
          <w:rFonts w:hint="eastAsia"/>
          <w:b/>
          <w:bCs/>
        </w:rPr>
        <w:t>路基填料最小强度（CBR）、最大粒径和压实度</w:t>
      </w:r>
    </w:p>
    <w:tbl>
      <w:tblPr>
        <w:tblStyle w:val="88"/>
        <w:tblW w:w="4483" w:type="pct"/>
        <w:jc w:val="cente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Layout w:type="autofit"/>
        <w:tblCellMar>
          <w:top w:w="0" w:type="dxa"/>
          <w:left w:w="108" w:type="dxa"/>
          <w:bottom w:w="0" w:type="dxa"/>
          <w:right w:w="108" w:type="dxa"/>
        </w:tblCellMar>
      </w:tblPr>
      <w:tblGrid>
        <w:gridCol w:w="443"/>
        <w:gridCol w:w="973"/>
        <w:gridCol w:w="1170"/>
        <w:gridCol w:w="1061"/>
        <w:gridCol w:w="1258"/>
        <w:gridCol w:w="1379"/>
        <w:gridCol w:w="1379"/>
        <w:gridCol w:w="1376"/>
      </w:tblGrid>
      <w:tr w14:paraId="1386A338">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783" w:type="pct"/>
            <w:gridSpan w:val="2"/>
            <w:vMerge w:val="restart"/>
            <w:tcBorders>
              <w:top w:val="single" w:color="auto" w:sz="4" w:space="0"/>
              <w:left w:val="single" w:color="auto" w:sz="4" w:space="0"/>
              <w:bottom w:val="single" w:color="auto" w:sz="4" w:space="0"/>
              <w:right w:val="single" w:color="auto" w:sz="4" w:space="0"/>
            </w:tcBorders>
            <w:vAlign w:val="center"/>
          </w:tcPr>
          <w:p w14:paraId="5CDDEC12">
            <w:pPr>
              <w:spacing w:line="240" w:lineRule="auto"/>
              <w:ind w:firstLine="0" w:firstLineChars="0"/>
              <w:jc w:val="center"/>
              <w:rPr>
                <w:bCs/>
                <w:sz w:val="21"/>
                <w:szCs w:val="21"/>
              </w:rPr>
            </w:pPr>
            <w:r>
              <w:rPr>
                <w:rFonts w:hint="eastAsia"/>
                <w:bCs/>
                <w:sz w:val="21"/>
                <w:szCs w:val="21"/>
              </w:rPr>
              <w:t>项目分类</w:t>
            </w:r>
          </w:p>
        </w:tc>
        <w:tc>
          <w:tcPr>
            <w:tcW w:w="647" w:type="pct"/>
            <w:vMerge w:val="restart"/>
            <w:tcBorders>
              <w:top w:val="single" w:color="auto" w:sz="4" w:space="0"/>
              <w:left w:val="single" w:color="auto" w:sz="4" w:space="0"/>
              <w:bottom w:val="single" w:color="auto" w:sz="4" w:space="0"/>
              <w:right w:val="single" w:color="auto" w:sz="4" w:space="0"/>
            </w:tcBorders>
            <w:vAlign w:val="center"/>
          </w:tcPr>
          <w:p w14:paraId="48B66513">
            <w:pPr>
              <w:spacing w:line="240" w:lineRule="auto"/>
              <w:ind w:firstLine="0" w:firstLineChars="0"/>
              <w:jc w:val="center"/>
              <w:rPr>
                <w:bCs/>
                <w:sz w:val="21"/>
                <w:szCs w:val="21"/>
              </w:rPr>
            </w:pPr>
            <w:r>
              <w:rPr>
                <w:rFonts w:hint="eastAsia"/>
                <w:bCs/>
                <w:sz w:val="21"/>
                <w:szCs w:val="21"/>
              </w:rPr>
              <w:t>路床顶面以下深度（m）</w:t>
            </w:r>
          </w:p>
        </w:tc>
        <w:tc>
          <w:tcPr>
            <w:tcW w:w="1283" w:type="pct"/>
            <w:gridSpan w:val="2"/>
            <w:tcBorders>
              <w:top w:val="single" w:color="auto" w:sz="4" w:space="0"/>
              <w:left w:val="single" w:color="auto" w:sz="4" w:space="0"/>
              <w:bottom w:val="single" w:color="auto" w:sz="4" w:space="0"/>
              <w:right w:val="single" w:color="auto" w:sz="4" w:space="0"/>
            </w:tcBorders>
            <w:vAlign w:val="center"/>
          </w:tcPr>
          <w:p w14:paraId="18507162">
            <w:pPr>
              <w:spacing w:line="240" w:lineRule="auto"/>
              <w:ind w:firstLine="0" w:firstLineChars="0"/>
              <w:jc w:val="center"/>
              <w:rPr>
                <w:bCs/>
                <w:sz w:val="21"/>
                <w:szCs w:val="21"/>
              </w:rPr>
            </w:pPr>
            <w:r>
              <w:rPr>
                <w:rFonts w:hint="eastAsia"/>
                <w:bCs/>
                <w:sz w:val="21"/>
                <w:szCs w:val="21"/>
              </w:rPr>
              <w:t>填料最小强度（CBR）（%）</w:t>
            </w:r>
          </w:p>
        </w:tc>
        <w:tc>
          <w:tcPr>
            <w:tcW w:w="1526" w:type="pct"/>
            <w:gridSpan w:val="2"/>
            <w:tcBorders>
              <w:top w:val="single" w:color="auto" w:sz="4" w:space="0"/>
              <w:left w:val="single" w:color="auto" w:sz="4" w:space="0"/>
              <w:bottom w:val="single" w:color="auto" w:sz="4" w:space="0"/>
              <w:right w:val="single" w:color="auto" w:sz="4" w:space="0"/>
            </w:tcBorders>
            <w:vAlign w:val="center"/>
          </w:tcPr>
          <w:p w14:paraId="611A6A28">
            <w:pPr>
              <w:spacing w:line="240" w:lineRule="auto"/>
              <w:ind w:firstLine="0" w:firstLineChars="0"/>
              <w:jc w:val="center"/>
              <w:rPr>
                <w:bCs/>
                <w:sz w:val="21"/>
                <w:szCs w:val="21"/>
              </w:rPr>
            </w:pPr>
            <w:r>
              <w:rPr>
                <w:rFonts w:hint="eastAsia"/>
                <w:bCs/>
                <w:sz w:val="21"/>
                <w:szCs w:val="21"/>
              </w:rPr>
              <w:t>压实度（%）</w:t>
            </w:r>
          </w:p>
        </w:tc>
        <w:tc>
          <w:tcPr>
            <w:tcW w:w="761" w:type="pct"/>
            <w:vMerge w:val="restart"/>
            <w:tcBorders>
              <w:top w:val="single" w:color="auto" w:sz="4" w:space="0"/>
              <w:left w:val="single" w:color="auto" w:sz="4" w:space="0"/>
              <w:bottom w:val="single" w:color="auto" w:sz="4" w:space="0"/>
              <w:right w:val="single" w:color="auto" w:sz="4" w:space="0"/>
            </w:tcBorders>
            <w:vAlign w:val="center"/>
          </w:tcPr>
          <w:p w14:paraId="4D676B27">
            <w:pPr>
              <w:spacing w:line="240" w:lineRule="auto"/>
              <w:ind w:firstLine="0" w:firstLineChars="0"/>
              <w:jc w:val="center"/>
              <w:rPr>
                <w:bCs/>
                <w:sz w:val="21"/>
                <w:szCs w:val="21"/>
              </w:rPr>
            </w:pPr>
            <w:r>
              <w:rPr>
                <w:rFonts w:hint="eastAsia"/>
                <w:bCs/>
                <w:sz w:val="21"/>
                <w:szCs w:val="21"/>
              </w:rPr>
              <w:t>填料最大粒径（mm）</w:t>
            </w:r>
          </w:p>
        </w:tc>
      </w:tr>
      <w:tr w14:paraId="0E869EED">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783" w:type="pct"/>
            <w:gridSpan w:val="2"/>
            <w:vMerge w:val="continue"/>
            <w:tcBorders>
              <w:top w:val="single" w:color="auto" w:sz="4" w:space="0"/>
              <w:left w:val="single" w:color="auto" w:sz="4" w:space="0"/>
              <w:bottom w:val="single" w:color="auto" w:sz="4" w:space="0"/>
              <w:right w:val="single" w:color="auto" w:sz="4" w:space="0"/>
            </w:tcBorders>
            <w:vAlign w:val="center"/>
          </w:tcPr>
          <w:p w14:paraId="2F304BF9">
            <w:pPr>
              <w:spacing w:line="240" w:lineRule="auto"/>
              <w:ind w:firstLine="0" w:firstLineChars="0"/>
              <w:jc w:val="center"/>
              <w:rPr>
                <w:bCs/>
                <w:sz w:val="21"/>
                <w:szCs w:val="21"/>
              </w:rPr>
            </w:pPr>
          </w:p>
        </w:tc>
        <w:tc>
          <w:tcPr>
            <w:tcW w:w="647" w:type="pct"/>
            <w:vMerge w:val="continue"/>
            <w:tcBorders>
              <w:top w:val="single" w:color="auto" w:sz="4" w:space="0"/>
              <w:left w:val="single" w:color="auto" w:sz="4" w:space="0"/>
              <w:bottom w:val="single" w:color="auto" w:sz="4" w:space="0"/>
              <w:right w:val="single" w:color="auto" w:sz="4" w:space="0"/>
            </w:tcBorders>
            <w:vAlign w:val="center"/>
          </w:tcPr>
          <w:p w14:paraId="6ADF64DF">
            <w:pPr>
              <w:spacing w:line="240" w:lineRule="auto"/>
              <w:ind w:firstLine="0" w:firstLineChars="0"/>
              <w:jc w:val="center"/>
              <w:rPr>
                <w:bCs/>
                <w:sz w:val="21"/>
                <w:szCs w:val="21"/>
              </w:rPr>
            </w:pPr>
          </w:p>
        </w:tc>
        <w:tc>
          <w:tcPr>
            <w:tcW w:w="587" w:type="pct"/>
            <w:tcBorders>
              <w:top w:val="single" w:color="auto" w:sz="4" w:space="0"/>
              <w:left w:val="single" w:color="auto" w:sz="4" w:space="0"/>
              <w:bottom w:val="single" w:color="auto" w:sz="4" w:space="0"/>
              <w:right w:val="single" w:color="auto" w:sz="4" w:space="0"/>
            </w:tcBorders>
            <w:vAlign w:val="center"/>
          </w:tcPr>
          <w:p w14:paraId="172DC1EA">
            <w:pPr>
              <w:spacing w:line="240" w:lineRule="auto"/>
              <w:ind w:firstLine="0" w:firstLineChars="0"/>
              <w:jc w:val="center"/>
              <w:rPr>
                <w:bCs/>
                <w:sz w:val="21"/>
                <w:szCs w:val="21"/>
              </w:rPr>
            </w:pPr>
            <w:r>
              <w:rPr>
                <w:rFonts w:hint="eastAsia"/>
                <w:bCs/>
                <w:sz w:val="21"/>
                <w:szCs w:val="21"/>
              </w:rPr>
              <w:t>次干路</w:t>
            </w:r>
          </w:p>
        </w:tc>
        <w:tc>
          <w:tcPr>
            <w:tcW w:w="696" w:type="pct"/>
            <w:tcBorders>
              <w:top w:val="single" w:color="auto" w:sz="4" w:space="0"/>
              <w:left w:val="single" w:color="auto" w:sz="4" w:space="0"/>
              <w:bottom w:val="single" w:color="auto" w:sz="4" w:space="0"/>
              <w:right w:val="single" w:color="auto" w:sz="4" w:space="0"/>
            </w:tcBorders>
            <w:vAlign w:val="center"/>
          </w:tcPr>
          <w:p w14:paraId="5174EE12">
            <w:pPr>
              <w:spacing w:line="240" w:lineRule="auto"/>
              <w:ind w:firstLine="0" w:firstLineChars="0"/>
              <w:jc w:val="center"/>
              <w:rPr>
                <w:bCs/>
                <w:sz w:val="21"/>
                <w:szCs w:val="21"/>
              </w:rPr>
            </w:pPr>
            <w:r>
              <w:rPr>
                <w:rFonts w:hint="eastAsia"/>
                <w:bCs/>
                <w:sz w:val="21"/>
                <w:szCs w:val="21"/>
              </w:rPr>
              <w:t>支路</w:t>
            </w:r>
          </w:p>
        </w:tc>
        <w:tc>
          <w:tcPr>
            <w:tcW w:w="763" w:type="pct"/>
            <w:tcBorders>
              <w:top w:val="single" w:color="auto" w:sz="4" w:space="0"/>
              <w:left w:val="single" w:color="auto" w:sz="4" w:space="0"/>
              <w:bottom w:val="single" w:color="auto" w:sz="4" w:space="0"/>
              <w:right w:val="single" w:color="auto" w:sz="4" w:space="0"/>
            </w:tcBorders>
            <w:vAlign w:val="center"/>
          </w:tcPr>
          <w:p w14:paraId="0DDE0DFF">
            <w:pPr>
              <w:spacing w:line="240" w:lineRule="auto"/>
              <w:ind w:firstLine="0" w:firstLineChars="0"/>
              <w:jc w:val="center"/>
              <w:rPr>
                <w:bCs/>
                <w:sz w:val="21"/>
                <w:szCs w:val="21"/>
              </w:rPr>
            </w:pPr>
            <w:r>
              <w:rPr>
                <w:rFonts w:hint="eastAsia"/>
                <w:bCs/>
                <w:sz w:val="21"/>
                <w:szCs w:val="21"/>
              </w:rPr>
              <w:t>次干路</w:t>
            </w:r>
          </w:p>
        </w:tc>
        <w:tc>
          <w:tcPr>
            <w:tcW w:w="763" w:type="pct"/>
            <w:tcBorders>
              <w:top w:val="single" w:color="auto" w:sz="4" w:space="0"/>
              <w:left w:val="single" w:color="auto" w:sz="4" w:space="0"/>
              <w:bottom w:val="single" w:color="auto" w:sz="4" w:space="0"/>
              <w:right w:val="single" w:color="auto" w:sz="4" w:space="0"/>
            </w:tcBorders>
            <w:vAlign w:val="center"/>
          </w:tcPr>
          <w:p w14:paraId="1ACBA0DE">
            <w:pPr>
              <w:spacing w:line="240" w:lineRule="auto"/>
              <w:ind w:firstLine="0" w:firstLineChars="0"/>
              <w:jc w:val="center"/>
              <w:rPr>
                <w:bCs/>
                <w:sz w:val="21"/>
                <w:szCs w:val="21"/>
              </w:rPr>
            </w:pPr>
            <w:r>
              <w:rPr>
                <w:rFonts w:hint="eastAsia"/>
                <w:bCs/>
                <w:sz w:val="21"/>
                <w:szCs w:val="21"/>
              </w:rPr>
              <w:t>支路</w:t>
            </w:r>
          </w:p>
        </w:tc>
        <w:tc>
          <w:tcPr>
            <w:tcW w:w="761" w:type="pct"/>
            <w:vMerge w:val="continue"/>
            <w:tcBorders>
              <w:top w:val="single" w:color="auto" w:sz="4" w:space="0"/>
              <w:left w:val="single" w:color="auto" w:sz="4" w:space="0"/>
              <w:bottom w:val="single" w:color="auto" w:sz="4" w:space="0"/>
              <w:right w:val="single" w:color="auto" w:sz="4" w:space="0"/>
            </w:tcBorders>
            <w:vAlign w:val="center"/>
          </w:tcPr>
          <w:p w14:paraId="10E72517">
            <w:pPr>
              <w:spacing w:line="240" w:lineRule="auto"/>
              <w:ind w:firstLine="0" w:firstLineChars="0"/>
              <w:jc w:val="center"/>
              <w:rPr>
                <w:bCs/>
                <w:sz w:val="21"/>
                <w:szCs w:val="21"/>
              </w:rPr>
            </w:pPr>
          </w:p>
        </w:tc>
      </w:tr>
      <w:tr w14:paraId="32905791">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245" w:type="pct"/>
            <w:vMerge w:val="restart"/>
            <w:tcBorders>
              <w:top w:val="single" w:color="auto" w:sz="4" w:space="0"/>
              <w:left w:val="single" w:color="auto" w:sz="4" w:space="0"/>
              <w:bottom w:val="single" w:color="auto" w:sz="4" w:space="0"/>
              <w:right w:val="single" w:color="auto" w:sz="4" w:space="0"/>
            </w:tcBorders>
            <w:vAlign w:val="center"/>
          </w:tcPr>
          <w:p w14:paraId="5D8BAD15">
            <w:pPr>
              <w:spacing w:line="240" w:lineRule="auto"/>
              <w:ind w:firstLine="0" w:firstLineChars="0"/>
              <w:jc w:val="center"/>
              <w:rPr>
                <w:bCs/>
                <w:sz w:val="21"/>
                <w:szCs w:val="21"/>
              </w:rPr>
            </w:pPr>
            <w:r>
              <w:rPr>
                <w:rFonts w:hint="eastAsia"/>
                <w:bCs/>
                <w:sz w:val="21"/>
                <w:szCs w:val="21"/>
              </w:rPr>
              <w:t>填</w:t>
            </w:r>
          </w:p>
          <w:p w14:paraId="527BE74E">
            <w:pPr>
              <w:spacing w:line="240" w:lineRule="auto"/>
              <w:ind w:firstLine="0" w:firstLineChars="0"/>
              <w:jc w:val="center"/>
              <w:rPr>
                <w:bCs/>
                <w:sz w:val="21"/>
                <w:szCs w:val="21"/>
              </w:rPr>
            </w:pPr>
            <w:r>
              <w:rPr>
                <w:rFonts w:hint="eastAsia"/>
                <w:bCs/>
                <w:sz w:val="21"/>
                <w:szCs w:val="21"/>
              </w:rPr>
              <w:t>方</w:t>
            </w:r>
          </w:p>
          <w:p w14:paraId="76656BA8">
            <w:pPr>
              <w:spacing w:line="240" w:lineRule="auto"/>
              <w:ind w:firstLine="0" w:firstLineChars="0"/>
              <w:jc w:val="center"/>
              <w:rPr>
                <w:bCs/>
                <w:sz w:val="21"/>
                <w:szCs w:val="21"/>
              </w:rPr>
            </w:pPr>
            <w:r>
              <w:rPr>
                <w:rFonts w:hint="eastAsia"/>
                <w:bCs/>
                <w:sz w:val="21"/>
                <w:szCs w:val="21"/>
              </w:rPr>
              <w:t>路</w:t>
            </w:r>
          </w:p>
          <w:p w14:paraId="2BE00172">
            <w:pPr>
              <w:spacing w:line="240" w:lineRule="auto"/>
              <w:ind w:firstLine="0" w:firstLineChars="0"/>
              <w:jc w:val="center"/>
              <w:rPr>
                <w:bCs/>
                <w:sz w:val="21"/>
                <w:szCs w:val="21"/>
              </w:rPr>
            </w:pPr>
            <w:r>
              <w:rPr>
                <w:rFonts w:hint="eastAsia"/>
                <w:bCs/>
                <w:sz w:val="21"/>
                <w:szCs w:val="21"/>
              </w:rPr>
              <w:t>堤</w:t>
            </w:r>
          </w:p>
        </w:tc>
        <w:tc>
          <w:tcPr>
            <w:tcW w:w="538" w:type="pct"/>
            <w:tcBorders>
              <w:top w:val="single" w:color="auto" w:sz="4" w:space="0"/>
              <w:left w:val="single" w:color="auto" w:sz="4" w:space="0"/>
              <w:bottom w:val="single" w:color="auto" w:sz="4" w:space="0"/>
              <w:right w:val="single" w:color="auto" w:sz="4" w:space="0"/>
            </w:tcBorders>
            <w:vAlign w:val="center"/>
          </w:tcPr>
          <w:p w14:paraId="4BA43E2B">
            <w:pPr>
              <w:spacing w:line="240" w:lineRule="auto"/>
              <w:ind w:firstLine="0" w:firstLineChars="0"/>
              <w:jc w:val="center"/>
              <w:rPr>
                <w:bCs/>
                <w:sz w:val="21"/>
                <w:szCs w:val="21"/>
              </w:rPr>
            </w:pPr>
            <w:r>
              <w:rPr>
                <w:rFonts w:hint="eastAsia"/>
                <w:bCs/>
                <w:sz w:val="21"/>
                <w:szCs w:val="21"/>
              </w:rPr>
              <w:t>上路床</w:t>
            </w:r>
          </w:p>
        </w:tc>
        <w:tc>
          <w:tcPr>
            <w:tcW w:w="647" w:type="pct"/>
            <w:tcBorders>
              <w:top w:val="single" w:color="auto" w:sz="4" w:space="0"/>
              <w:left w:val="single" w:color="auto" w:sz="4" w:space="0"/>
              <w:bottom w:val="single" w:color="auto" w:sz="4" w:space="0"/>
              <w:right w:val="single" w:color="auto" w:sz="4" w:space="0"/>
            </w:tcBorders>
            <w:vAlign w:val="center"/>
          </w:tcPr>
          <w:p w14:paraId="76F1C398">
            <w:pPr>
              <w:spacing w:line="240" w:lineRule="auto"/>
              <w:ind w:firstLine="0" w:firstLineChars="0"/>
              <w:jc w:val="center"/>
              <w:rPr>
                <w:bCs/>
                <w:sz w:val="21"/>
                <w:szCs w:val="21"/>
              </w:rPr>
            </w:pPr>
            <w:r>
              <w:rPr>
                <w:rFonts w:hint="eastAsia"/>
                <w:bCs/>
                <w:sz w:val="21"/>
                <w:szCs w:val="21"/>
              </w:rPr>
              <w:t>0～0.3</w:t>
            </w:r>
          </w:p>
        </w:tc>
        <w:tc>
          <w:tcPr>
            <w:tcW w:w="587" w:type="pct"/>
            <w:tcBorders>
              <w:top w:val="single" w:color="auto" w:sz="4" w:space="0"/>
              <w:left w:val="single" w:color="auto" w:sz="4" w:space="0"/>
              <w:bottom w:val="single" w:color="auto" w:sz="4" w:space="0"/>
              <w:right w:val="single" w:color="auto" w:sz="4" w:space="0"/>
            </w:tcBorders>
            <w:vAlign w:val="center"/>
          </w:tcPr>
          <w:p w14:paraId="33E9A577">
            <w:pPr>
              <w:spacing w:line="240" w:lineRule="auto"/>
              <w:ind w:firstLine="0" w:firstLineChars="0"/>
              <w:jc w:val="center"/>
              <w:rPr>
                <w:bCs/>
                <w:sz w:val="21"/>
                <w:szCs w:val="21"/>
              </w:rPr>
            </w:pPr>
            <w:r>
              <w:rPr>
                <w:rFonts w:hint="eastAsia"/>
                <w:bCs/>
                <w:sz w:val="21"/>
                <w:szCs w:val="21"/>
              </w:rPr>
              <w:t>6</w:t>
            </w:r>
          </w:p>
        </w:tc>
        <w:tc>
          <w:tcPr>
            <w:tcW w:w="696" w:type="pct"/>
            <w:tcBorders>
              <w:top w:val="single" w:color="auto" w:sz="4" w:space="0"/>
              <w:left w:val="single" w:color="auto" w:sz="4" w:space="0"/>
              <w:bottom w:val="single" w:color="auto" w:sz="4" w:space="0"/>
              <w:right w:val="single" w:color="auto" w:sz="4" w:space="0"/>
            </w:tcBorders>
            <w:vAlign w:val="center"/>
          </w:tcPr>
          <w:p w14:paraId="257D9AD4">
            <w:pPr>
              <w:spacing w:line="240" w:lineRule="auto"/>
              <w:ind w:firstLine="0" w:firstLineChars="0"/>
              <w:jc w:val="center"/>
              <w:rPr>
                <w:bCs/>
                <w:sz w:val="21"/>
                <w:szCs w:val="21"/>
              </w:rPr>
            </w:pPr>
            <w:r>
              <w:rPr>
                <w:rFonts w:hint="eastAsia"/>
                <w:bCs/>
                <w:sz w:val="21"/>
                <w:szCs w:val="21"/>
              </w:rPr>
              <w:t>5</w:t>
            </w:r>
          </w:p>
        </w:tc>
        <w:tc>
          <w:tcPr>
            <w:tcW w:w="763" w:type="pct"/>
            <w:tcBorders>
              <w:top w:val="single" w:color="auto" w:sz="4" w:space="0"/>
              <w:left w:val="single" w:color="auto" w:sz="4" w:space="0"/>
              <w:bottom w:val="single" w:color="auto" w:sz="4" w:space="0"/>
              <w:right w:val="single" w:color="auto" w:sz="4" w:space="0"/>
            </w:tcBorders>
            <w:vAlign w:val="center"/>
          </w:tcPr>
          <w:p w14:paraId="5EA96D43">
            <w:pPr>
              <w:spacing w:line="240" w:lineRule="auto"/>
              <w:ind w:firstLine="0" w:firstLineChars="0"/>
              <w:jc w:val="center"/>
              <w:rPr>
                <w:bCs/>
                <w:sz w:val="21"/>
                <w:szCs w:val="21"/>
              </w:rPr>
            </w:pPr>
            <w:r>
              <w:rPr>
                <w:rFonts w:hint="eastAsia"/>
                <w:bCs/>
                <w:sz w:val="21"/>
                <w:szCs w:val="21"/>
              </w:rPr>
              <w:t>≥94</w:t>
            </w:r>
          </w:p>
        </w:tc>
        <w:tc>
          <w:tcPr>
            <w:tcW w:w="763" w:type="pct"/>
            <w:tcBorders>
              <w:top w:val="single" w:color="auto" w:sz="4" w:space="0"/>
              <w:left w:val="single" w:color="auto" w:sz="4" w:space="0"/>
              <w:bottom w:val="single" w:color="auto" w:sz="4" w:space="0"/>
              <w:right w:val="single" w:color="auto" w:sz="4" w:space="0"/>
            </w:tcBorders>
            <w:vAlign w:val="center"/>
          </w:tcPr>
          <w:p w14:paraId="24D190AA">
            <w:pPr>
              <w:spacing w:line="240" w:lineRule="auto"/>
              <w:ind w:firstLine="0" w:firstLineChars="0"/>
              <w:jc w:val="center"/>
              <w:rPr>
                <w:bCs/>
                <w:sz w:val="21"/>
                <w:szCs w:val="21"/>
              </w:rPr>
            </w:pPr>
            <w:r>
              <w:rPr>
                <w:rFonts w:hint="eastAsia"/>
                <w:bCs/>
                <w:sz w:val="21"/>
                <w:szCs w:val="21"/>
              </w:rPr>
              <w:t>≥92</w:t>
            </w:r>
          </w:p>
        </w:tc>
        <w:tc>
          <w:tcPr>
            <w:tcW w:w="761" w:type="pct"/>
            <w:tcBorders>
              <w:top w:val="single" w:color="auto" w:sz="4" w:space="0"/>
              <w:left w:val="single" w:color="auto" w:sz="4" w:space="0"/>
              <w:bottom w:val="single" w:color="auto" w:sz="4" w:space="0"/>
              <w:right w:val="single" w:color="auto" w:sz="4" w:space="0"/>
            </w:tcBorders>
            <w:vAlign w:val="center"/>
          </w:tcPr>
          <w:p w14:paraId="16A77DC3">
            <w:pPr>
              <w:spacing w:line="240" w:lineRule="auto"/>
              <w:ind w:firstLine="0" w:firstLineChars="0"/>
              <w:jc w:val="center"/>
              <w:rPr>
                <w:bCs/>
                <w:sz w:val="21"/>
                <w:szCs w:val="21"/>
              </w:rPr>
            </w:pPr>
            <w:r>
              <w:rPr>
                <w:rFonts w:hint="eastAsia"/>
                <w:bCs/>
                <w:sz w:val="21"/>
                <w:szCs w:val="21"/>
              </w:rPr>
              <w:t>100</w:t>
            </w:r>
          </w:p>
        </w:tc>
      </w:tr>
      <w:tr w14:paraId="753D0B90">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245" w:type="pct"/>
            <w:vMerge w:val="continue"/>
            <w:tcBorders>
              <w:top w:val="single" w:color="auto" w:sz="4" w:space="0"/>
              <w:left w:val="single" w:color="auto" w:sz="4" w:space="0"/>
              <w:bottom w:val="single" w:color="auto" w:sz="4" w:space="0"/>
              <w:right w:val="single" w:color="auto" w:sz="4" w:space="0"/>
            </w:tcBorders>
            <w:vAlign w:val="center"/>
          </w:tcPr>
          <w:p w14:paraId="667C1237">
            <w:pPr>
              <w:spacing w:line="240" w:lineRule="auto"/>
              <w:ind w:firstLine="0" w:firstLineChars="0"/>
              <w:jc w:val="center"/>
              <w:rPr>
                <w:bCs/>
                <w:sz w:val="21"/>
                <w:szCs w:val="21"/>
              </w:rPr>
            </w:pPr>
          </w:p>
        </w:tc>
        <w:tc>
          <w:tcPr>
            <w:tcW w:w="538" w:type="pct"/>
            <w:tcBorders>
              <w:top w:val="single" w:color="auto" w:sz="4" w:space="0"/>
              <w:left w:val="single" w:color="auto" w:sz="4" w:space="0"/>
              <w:bottom w:val="single" w:color="auto" w:sz="4" w:space="0"/>
              <w:right w:val="single" w:color="auto" w:sz="4" w:space="0"/>
            </w:tcBorders>
            <w:vAlign w:val="center"/>
          </w:tcPr>
          <w:p w14:paraId="40D3BF31">
            <w:pPr>
              <w:spacing w:line="240" w:lineRule="auto"/>
              <w:ind w:firstLine="0" w:firstLineChars="0"/>
              <w:jc w:val="center"/>
              <w:rPr>
                <w:bCs/>
                <w:sz w:val="21"/>
                <w:szCs w:val="21"/>
              </w:rPr>
            </w:pPr>
            <w:r>
              <w:rPr>
                <w:rFonts w:hint="eastAsia"/>
                <w:bCs/>
                <w:sz w:val="21"/>
                <w:szCs w:val="21"/>
              </w:rPr>
              <w:t>下路床</w:t>
            </w:r>
          </w:p>
        </w:tc>
        <w:tc>
          <w:tcPr>
            <w:tcW w:w="647" w:type="pct"/>
            <w:tcBorders>
              <w:top w:val="single" w:color="auto" w:sz="4" w:space="0"/>
              <w:left w:val="single" w:color="auto" w:sz="4" w:space="0"/>
              <w:bottom w:val="single" w:color="auto" w:sz="4" w:space="0"/>
              <w:right w:val="single" w:color="auto" w:sz="4" w:space="0"/>
            </w:tcBorders>
            <w:vAlign w:val="center"/>
          </w:tcPr>
          <w:p w14:paraId="165A9445">
            <w:pPr>
              <w:spacing w:line="240" w:lineRule="auto"/>
              <w:ind w:firstLine="0" w:firstLineChars="0"/>
              <w:jc w:val="center"/>
              <w:rPr>
                <w:bCs/>
                <w:sz w:val="21"/>
                <w:szCs w:val="21"/>
              </w:rPr>
            </w:pPr>
            <w:r>
              <w:rPr>
                <w:rFonts w:hint="eastAsia"/>
                <w:bCs/>
                <w:sz w:val="21"/>
                <w:szCs w:val="21"/>
              </w:rPr>
              <w:t>0.3～0.8</w:t>
            </w:r>
          </w:p>
        </w:tc>
        <w:tc>
          <w:tcPr>
            <w:tcW w:w="587" w:type="pct"/>
            <w:tcBorders>
              <w:top w:val="single" w:color="auto" w:sz="4" w:space="0"/>
              <w:left w:val="single" w:color="auto" w:sz="4" w:space="0"/>
              <w:bottom w:val="single" w:color="auto" w:sz="4" w:space="0"/>
              <w:right w:val="single" w:color="auto" w:sz="4" w:space="0"/>
            </w:tcBorders>
            <w:vAlign w:val="center"/>
          </w:tcPr>
          <w:p w14:paraId="2BF6C9E6">
            <w:pPr>
              <w:spacing w:line="240" w:lineRule="auto"/>
              <w:ind w:firstLine="0" w:firstLineChars="0"/>
              <w:jc w:val="center"/>
              <w:rPr>
                <w:bCs/>
                <w:sz w:val="21"/>
                <w:szCs w:val="21"/>
              </w:rPr>
            </w:pPr>
            <w:r>
              <w:rPr>
                <w:rFonts w:hint="eastAsia"/>
                <w:bCs/>
                <w:sz w:val="21"/>
                <w:szCs w:val="21"/>
              </w:rPr>
              <w:t>4</w:t>
            </w:r>
          </w:p>
        </w:tc>
        <w:tc>
          <w:tcPr>
            <w:tcW w:w="696" w:type="pct"/>
            <w:tcBorders>
              <w:top w:val="single" w:color="auto" w:sz="4" w:space="0"/>
              <w:left w:val="single" w:color="auto" w:sz="4" w:space="0"/>
              <w:bottom w:val="single" w:color="auto" w:sz="4" w:space="0"/>
              <w:right w:val="single" w:color="auto" w:sz="4" w:space="0"/>
            </w:tcBorders>
            <w:vAlign w:val="center"/>
          </w:tcPr>
          <w:p w14:paraId="35AC4430">
            <w:pPr>
              <w:spacing w:line="240" w:lineRule="auto"/>
              <w:ind w:firstLine="0" w:firstLineChars="0"/>
              <w:jc w:val="center"/>
              <w:rPr>
                <w:bCs/>
                <w:sz w:val="21"/>
                <w:szCs w:val="21"/>
              </w:rPr>
            </w:pPr>
            <w:r>
              <w:rPr>
                <w:rFonts w:hint="eastAsia"/>
                <w:bCs/>
                <w:sz w:val="21"/>
                <w:szCs w:val="21"/>
              </w:rPr>
              <w:t>3</w:t>
            </w:r>
          </w:p>
        </w:tc>
        <w:tc>
          <w:tcPr>
            <w:tcW w:w="763" w:type="pct"/>
            <w:tcBorders>
              <w:top w:val="single" w:color="auto" w:sz="4" w:space="0"/>
              <w:left w:val="single" w:color="auto" w:sz="4" w:space="0"/>
              <w:bottom w:val="single" w:color="auto" w:sz="4" w:space="0"/>
              <w:right w:val="single" w:color="auto" w:sz="4" w:space="0"/>
            </w:tcBorders>
            <w:vAlign w:val="center"/>
          </w:tcPr>
          <w:p w14:paraId="2CC0B1CA">
            <w:pPr>
              <w:spacing w:line="240" w:lineRule="auto"/>
              <w:ind w:firstLine="0" w:firstLineChars="0"/>
              <w:jc w:val="center"/>
              <w:rPr>
                <w:bCs/>
                <w:sz w:val="21"/>
                <w:szCs w:val="21"/>
              </w:rPr>
            </w:pPr>
            <w:r>
              <w:rPr>
                <w:rFonts w:hint="eastAsia"/>
                <w:bCs/>
                <w:sz w:val="21"/>
                <w:szCs w:val="21"/>
              </w:rPr>
              <w:t>≥9</w:t>
            </w:r>
            <w:r>
              <w:rPr>
                <w:bCs/>
                <w:sz w:val="21"/>
                <w:szCs w:val="21"/>
              </w:rPr>
              <w:t>4</w:t>
            </w:r>
          </w:p>
        </w:tc>
        <w:tc>
          <w:tcPr>
            <w:tcW w:w="763" w:type="pct"/>
            <w:tcBorders>
              <w:top w:val="single" w:color="auto" w:sz="4" w:space="0"/>
              <w:left w:val="single" w:color="auto" w:sz="4" w:space="0"/>
              <w:bottom w:val="single" w:color="auto" w:sz="4" w:space="0"/>
              <w:right w:val="single" w:color="auto" w:sz="4" w:space="0"/>
            </w:tcBorders>
            <w:vAlign w:val="center"/>
          </w:tcPr>
          <w:p w14:paraId="77716FBE">
            <w:pPr>
              <w:spacing w:line="240" w:lineRule="auto"/>
              <w:ind w:firstLine="0" w:firstLineChars="0"/>
              <w:jc w:val="center"/>
              <w:rPr>
                <w:bCs/>
                <w:sz w:val="21"/>
                <w:szCs w:val="21"/>
              </w:rPr>
            </w:pPr>
            <w:r>
              <w:rPr>
                <w:rFonts w:hint="eastAsia"/>
                <w:bCs/>
                <w:sz w:val="21"/>
                <w:szCs w:val="21"/>
              </w:rPr>
              <w:t>≥91</w:t>
            </w:r>
          </w:p>
        </w:tc>
        <w:tc>
          <w:tcPr>
            <w:tcW w:w="761" w:type="pct"/>
            <w:tcBorders>
              <w:top w:val="single" w:color="auto" w:sz="4" w:space="0"/>
              <w:left w:val="single" w:color="auto" w:sz="4" w:space="0"/>
              <w:bottom w:val="single" w:color="auto" w:sz="4" w:space="0"/>
              <w:right w:val="single" w:color="auto" w:sz="4" w:space="0"/>
            </w:tcBorders>
            <w:vAlign w:val="center"/>
          </w:tcPr>
          <w:p w14:paraId="55D8B24D">
            <w:pPr>
              <w:spacing w:line="240" w:lineRule="auto"/>
              <w:ind w:firstLine="0" w:firstLineChars="0"/>
              <w:jc w:val="center"/>
              <w:rPr>
                <w:bCs/>
                <w:sz w:val="21"/>
                <w:szCs w:val="21"/>
              </w:rPr>
            </w:pPr>
            <w:r>
              <w:rPr>
                <w:rFonts w:hint="eastAsia"/>
                <w:bCs/>
                <w:sz w:val="21"/>
                <w:szCs w:val="21"/>
              </w:rPr>
              <w:t>100</w:t>
            </w:r>
          </w:p>
        </w:tc>
      </w:tr>
      <w:tr w14:paraId="2B9606DE">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245" w:type="pct"/>
            <w:vMerge w:val="continue"/>
            <w:tcBorders>
              <w:top w:val="single" w:color="auto" w:sz="4" w:space="0"/>
              <w:left w:val="single" w:color="auto" w:sz="4" w:space="0"/>
              <w:bottom w:val="single" w:color="auto" w:sz="4" w:space="0"/>
              <w:right w:val="single" w:color="auto" w:sz="4" w:space="0"/>
            </w:tcBorders>
            <w:vAlign w:val="center"/>
          </w:tcPr>
          <w:p w14:paraId="41F17A1D">
            <w:pPr>
              <w:spacing w:line="240" w:lineRule="auto"/>
              <w:ind w:firstLine="0" w:firstLineChars="0"/>
              <w:jc w:val="center"/>
              <w:rPr>
                <w:bCs/>
                <w:sz w:val="21"/>
                <w:szCs w:val="21"/>
              </w:rPr>
            </w:pPr>
          </w:p>
        </w:tc>
        <w:tc>
          <w:tcPr>
            <w:tcW w:w="538" w:type="pct"/>
            <w:tcBorders>
              <w:top w:val="single" w:color="auto" w:sz="4" w:space="0"/>
              <w:left w:val="single" w:color="auto" w:sz="4" w:space="0"/>
              <w:bottom w:val="single" w:color="auto" w:sz="4" w:space="0"/>
              <w:right w:val="single" w:color="auto" w:sz="4" w:space="0"/>
            </w:tcBorders>
            <w:vAlign w:val="center"/>
          </w:tcPr>
          <w:p w14:paraId="67E68C77">
            <w:pPr>
              <w:spacing w:line="240" w:lineRule="auto"/>
              <w:ind w:firstLine="0" w:firstLineChars="0"/>
              <w:jc w:val="center"/>
              <w:rPr>
                <w:bCs/>
                <w:sz w:val="21"/>
                <w:szCs w:val="21"/>
              </w:rPr>
            </w:pPr>
            <w:r>
              <w:rPr>
                <w:rFonts w:hint="eastAsia"/>
                <w:bCs/>
                <w:sz w:val="21"/>
                <w:szCs w:val="21"/>
              </w:rPr>
              <w:t>上路堤</w:t>
            </w:r>
          </w:p>
        </w:tc>
        <w:tc>
          <w:tcPr>
            <w:tcW w:w="647" w:type="pct"/>
            <w:tcBorders>
              <w:top w:val="single" w:color="auto" w:sz="4" w:space="0"/>
              <w:left w:val="single" w:color="auto" w:sz="4" w:space="0"/>
              <w:bottom w:val="single" w:color="auto" w:sz="4" w:space="0"/>
              <w:right w:val="single" w:color="auto" w:sz="4" w:space="0"/>
            </w:tcBorders>
            <w:vAlign w:val="center"/>
          </w:tcPr>
          <w:p w14:paraId="12A79A95">
            <w:pPr>
              <w:spacing w:line="240" w:lineRule="auto"/>
              <w:ind w:firstLine="0" w:firstLineChars="0"/>
              <w:jc w:val="center"/>
              <w:rPr>
                <w:bCs/>
                <w:sz w:val="21"/>
                <w:szCs w:val="21"/>
              </w:rPr>
            </w:pPr>
            <w:r>
              <w:rPr>
                <w:rFonts w:hint="eastAsia"/>
                <w:bCs/>
                <w:sz w:val="21"/>
                <w:szCs w:val="21"/>
              </w:rPr>
              <w:t>0.8～1.5</w:t>
            </w:r>
          </w:p>
        </w:tc>
        <w:tc>
          <w:tcPr>
            <w:tcW w:w="587" w:type="pct"/>
            <w:tcBorders>
              <w:top w:val="single" w:color="auto" w:sz="4" w:space="0"/>
              <w:left w:val="single" w:color="auto" w:sz="4" w:space="0"/>
              <w:bottom w:val="single" w:color="auto" w:sz="4" w:space="0"/>
              <w:right w:val="single" w:color="auto" w:sz="4" w:space="0"/>
            </w:tcBorders>
            <w:vAlign w:val="center"/>
          </w:tcPr>
          <w:p w14:paraId="42E20871">
            <w:pPr>
              <w:spacing w:line="240" w:lineRule="auto"/>
              <w:ind w:firstLine="0" w:firstLineChars="0"/>
              <w:jc w:val="center"/>
              <w:rPr>
                <w:bCs/>
                <w:sz w:val="21"/>
                <w:szCs w:val="21"/>
              </w:rPr>
            </w:pPr>
            <w:r>
              <w:rPr>
                <w:rFonts w:hint="eastAsia"/>
                <w:bCs/>
                <w:sz w:val="21"/>
                <w:szCs w:val="21"/>
              </w:rPr>
              <w:t>3</w:t>
            </w:r>
          </w:p>
        </w:tc>
        <w:tc>
          <w:tcPr>
            <w:tcW w:w="696" w:type="pct"/>
            <w:tcBorders>
              <w:top w:val="single" w:color="auto" w:sz="4" w:space="0"/>
              <w:left w:val="single" w:color="auto" w:sz="4" w:space="0"/>
              <w:bottom w:val="single" w:color="auto" w:sz="4" w:space="0"/>
              <w:right w:val="single" w:color="auto" w:sz="4" w:space="0"/>
            </w:tcBorders>
            <w:vAlign w:val="center"/>
          </w:tcPr>
          <w:p w14:paraId="746AA75F">
            <w:pPr>
              <w:spacing w:line="240" w:lineRule="auto"/>
              <w:ind w:firstLine="0" w:firstLineChars="0"/>
              <w:jc w:val="center"/>
              <w:rPr>
                <w:bCs/>
                <w:sz w:val="21"/>
                <w:szCs w:val="21"/>
              </w:rPr>
            </w:pPr>
            <w:r>
              <w:rPr>
                <w:rFonts w:hint="eastAsia"/>
                <w:bCs/>
                <w:sz w:val="21"/>
                <w:szCs w:val="21"/>
              </w:rPr>
              <w:t>3</w:t>
            </w:r>
          </w:p>
        </w:tc>
        <w:tc>
          <w:tcPr>
            <w:tcW w:w="763" w:type="pct"/>
            <w:tcBorders>
              <w:top w:val="single" w:color="auto" w:sz="4" w:space="0"/>
              <w:left w:val="single" w:color="auto" w:sz="4" w:space="0"/>
              <w:bottom w:val="single" w:color="auto" w:sz="4" w:space="0"/>
              <w:right w:val="single" w:color="auto" w:sz="4" w:space="0"/>
            </w:tcBorders>
            <w:vAlign w:val="center"/>
          </w:tcPr>
          <w:p w14:paraId="3AA3DCED">
            <w:pPr>
              <w:spacing w:line="240" w:lineRule="auto"/>
              <w:ind w:firstLine="0" w:firstLineChars="0"/>
              <w:jc w:val="center"/>
              <w:rPr>
                <w:bCs/>
                <w:sz w:val="21"/>
                <w:szCs w:val="21"/>
              </w:rPr>
            </w:pPr>
            <w:r>
              <w:rPr>
                <w:rFonts w:hint="eastAsia"/>
                <w:bCs/>
                <w:sz w:val="21"/>
                <w:szCs w:val="21"/>
              </w:rPr>
              <w:t>≥92</w:t>
            </w:r>
          </w:p>
        </w:tc>
        <w:tc>
          <w:tcPr>
            <w:tcW w:w="763" w:type="pct"/>
            <w:tcBorders>
              <w:top w:val="single" w:color="auto" w:sz="4" w:space="0"/>
              <w:left w:val="single" w:color="auto" w:sz="4" w:space="0"/>
              <w:bottom w:val="single" w:color="auto" w:sz="4" w:space="0"/>
              <w:right w:val="single" w:color="auto" w:sz="4" w:space="0"/>
            </w:tcBorders>
            <w:vAlign w:val="center"/>
          </w:tcPr>
          <w:p w14:paraId="3B5F3BDA">
            <w:pPr>
              <w:spacing w:line="240" w:lineRule="auto"/>
              <w:ind w:firstLine="0" w:firstLineChars="0"/>
              <w:jc w:val="center"/>
              <w:rPr>
                <w:bCs/>
                <w:sz w:val="21"/>
                <w:szCs w:val="21"/>
              </w:rPr>
            </w:pPr>
            <w:r>
              <w:rPr>
                <w:rFonts w:hint="eastAsia"/>
                <w:bCs/>
                <w:sz w:val="21"/>
                <w:szCs w:val="21"/>
              </w:rPr>
              <w:t>≥91</w:t>
            </w:r>
          </w:p>
        </w:tc>
        <w:tc>
          <w:tcPr>
            <w:tcW w:w="761" w:type="pct"/>
            <w:tcBorders>
              <w:top w:val="single" w:color="auto" w:sz="4" w:space="0"/>
              <w:left w:val="single" w:color="auto" w:sz="4" w:space="0"/>
              <w:bottom w:val="single" w:color="auto" w:sz="4" w:space="0"/>
              <w:right w:val="single" w:color="auto" w:sz="4" w:space="0"/>
            </w:tcBorders>
            <w:vAlign w:val="center"/>
          </w:tcPr>
          <w:p w14:paraId="4F87E62C">
            <w:pPr>
              <w:spacing w:line="240" w:lineRule="auto"/>
              <w:ind w:firstLine="0" w:firstLineChars="0"/>
              <w:jc w:val="center"/>
              <w:rPr>
                <w:bCs/>
                <w:sz w:val="21"/>
                <w:szCs w:val="21"/>
              </w:rPr>
            </w:pPr>
            <w:r>
              <w:rPr>
                <w:rFonts w:hint="eastAsia"/>
                <w:bCs/>
                <w:sz w:val="21"/>
                <w:szCs w:val="21"/>
              </w:rPr>
              <w:t>150</w:t>
            </w:r>
          </w:p>
        </w:tc>
      </w:tr>
      <w:tr w14:paraId="08479B78">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245" w:type="pct"/>
            <w:vMerge w:val="continue"/>
            <w:tcBorders>
              <w:top w:val="single" w:color="auto" w:sz="4" w:space="0"/>
              <w:left w:val="single" w:color="auto" w:sz="4" w:space="0"/>
              <w:bottom w:val="single" w:color="auto" w:sz="4" w:space="0"/>
              <w:right w:val="single" w:color="auto" w:sz="4" w:space="0"/>
            </w:tcBorders>
            <w:vAlign w:val="center"/>
          </w:tcPr>
          <w:p w14:paraId="3592472B">
            <w:pPr>
              <w:spacing w:line="240" w:lineRule="auto"/>
              <w:ind w:firstLine="0" w:firstLineChars="0"/>
              <w:jc w:val="center"/>
              <w:rPr>
                <w:bCs/>
                <w:sz w:val="21"/>
                <w:szCs w:val="21"/>
              </w:rPr>
            </w:pPr>
          </w:p>
        </w:tc>
        <w:tc>
          <w:tcPr>
            <w:tcW w:w="538" w:type="pct"/>
            <w:tcBorders>
              <w:top w:val="single" w:color="auto" w:sz="4" w:space="0"/>
              <w:left w:val="single" w:color="auto" w:sz="4" w:space="0"/>
              <w:bottom w:val="single" w:color="auto" w:sz="4" w:space="0"/>
              <w:right w:val="single" w:color="auto" w:sz="4" w:space="0"/>
            </w:tcBorders>
            <w:vAlign w:val="center"/>
          </w:tcPr>
          <w:p w14:paraId="47C11244">
            <w:pPr>
              <w:spacing w:line="240" w:lineRule="auto"/>
              <w:ind w:firstLine="0" w:firstLineChars="0"/>
              <w:jc w:val="center"/>
              <w:rPr>
                <w:bCs/>
                <w:sz w:val="21"/>
                <w:szCs w:val="21"/>
              </w:rPr>
            </w:pPr>
            <w:r>
              <w:rPr>
                <w:rFonts w:hint="eastAsia"/>
                <w:bCs/>
                <w:sz w:val="21"/>
                <w:szCs w:val="21"/>
              </w:rPr>
              <w:t>下路堤</w:t>
            </w:r>
          </w:p>
        </w:tc>
        <w:tc>
          <w:tcPr>
            <w:tcW w:w="647" w:type="pct"/>
            <w:tcBorders>
              <w:top w:val="single" w:color="auto" w:sz="4" w:space="0"/>
              <w:left w:val="single" w:color="auto" w:sz="4" w:space="0"/>
              <w:bottom w:val="single" w:color="auto" w:sz="4" w:space="0"/>
              <w:right w:val="single" w:color="auto" w:sz="4" w:space="0"/>
            </w:tcBorders>
            <w:vAlign w:val="center"/>
          </w:tcPr>
          <w:p w14:paraId="54E685C8">
            <w:pPr>
              <w:spacing w:line="240" w:lineRule="auto"/>
              <w:ind w:firstLine="0" w:firstLineChars="0"/>
              <w:jc w:val="center"/>
              <w:rPr>
                <w:bCs/>
                <w:sz w:val="21"/>
                <w:szCs w:val="21"/>
              </w:rPr>
            </w:pPr>
            <w:r>
              <w:rPr>
                <w:rFonts w:hint="eastAsia"/>
                <w:bCs/>
                <w:sz w:val="21"/>
                <w:szCs w:val="21"/>
              </w:rPr>
              <w:t>1.5以下</w:t>
            </w:r>
          </w:p>
        </w:tc>
        <w:tc>
          <w:tcPr>
            <w:tcW w:w="587" w:type="pct"/>
            <w:tcBorders>
              <w:top w:val="single" w:color="auto" w:sz="4" w:space="0"/>
              <w:left w:val="single" w:color="auto" w:sz="4" w:space="0"/>
              <w:bottom w:val="single" w:color="auto" w:sz="4" w:space="0"/>
              <w:right w:val="single" w:color="auto" w:sz="4" w:space="0"/>
            </w:tcBorders>
            <w:vAlign w:val="center"/>
          </w:tcPr>
          <w:p w14:paraId="2AA723A6">
            <w:pPr>
              <w:spacing w:line="240" w:lineRule="auto"/>
              <w:ind w:firstLine="0" w:firstLineChars="0"/>
              <w:jc w:val="center"/>
              <w:rPr>
                <w:bCs/>
                <w:sz w:val="21"/>
                <w:szCs w:val="21"/>
              </w:rPr>
            </w:pPr>
            <w:r>
              <w:rPr>
                <w:rFonts w:hint="eastAsia"/>
                <w:bCs/>
                <w:sz w:val="21"/>
                <w:szCs w:val="21"/>
              </w:rPr>
              <w:t>2</w:t>
            </w:r>
          </w:p>
        </w:tc>
        <w:tc>
          <w:tcPr>
            <w:tcW w:w="696" w:type="pct"/>
            <w:tcBorders>
              <w:top w:val="single" w:color="auto" w:sz="4" w:space="0"/>
              <w:left w:val="single" w:color="auto" w:sz="4" w:space="0"/>
              <w:bottom w:val="single" w:color="auto" w:sz="4" w:space="0"/>
              <w:right w:val="single" w:color="auto" w:sz="4" w:space="0"/>
            </w:tcBorders>
            <w:vAlign w:val="center"/>
          </w:tcPr>
          <w:p w14:paraId="690F508C">
            <w:pPr>
              <w:spacing w:line="240" w:lineRule="auto"/>
              <w:ind w:firstLine="0" w:firstLineChars="0"/>
              <w:jc w:val="center"/>
              <w:rPr>
                <w:bCs/>
                <w:sz w:val="21"/>
                <w:szCs w:val="21"/>
              </w:rPr>
            </w:pPr>
            <w:r>
              <w:rPr>
                <w:rFonts w:hint="eastAsia"/>
                <w:bCs/>
                <w:sz w:val="21"/>
                <w:szCs w:val="21"/>
              </w:rPr>
              <w:t>2</w:t>
            </w:r>
          </w:p>
        </w:tc>
        <w:tc>
          <w:tcPr>
            <w:tcW w:w="763" w:type="pct"/>
            <w:tcBorders>
              <w:top w:val="single" w:color="auto" w:sz="4" w:space="0"/>
              <w:left w:val="single" w:color="auto" w:sz="4" w:space="0"/>
              <w:bottom w:val="single" w:color="auto" w:sz="4" w:space="0"/>
              <w:right w:val="single" w:color="auto" w:sz="4" w:space="0"/>
            </w:tcBorders>
            <w:vAlign w:val="center"/>
          </w:tcPr>
          <w:p w14:paraId="0B920260">
            <w:pPr>
              <w:spacing w:line="240" w:lineRule="auto"/>
              <w:ind w:firstLine="0" w:firstLineChars="0"/>
              <w:jc w:val="center"/>
              <w:rPr>
                <w:bCs/>
                <w:sz w:val="21"/>
                <w:szCs w:val="21"/>
              </w:rPr>
            </w:pPr>
            <w:r>
              <w:rPr>
                <w:rFonts w:hint="eastAsia"/>
                <w:bCs/>
                <w:sz w:val="21"/>
                <w:szCs w:val="21"/>
              </w:rPr>
              <w:t>≥91</w:t>
            </w:r>
          </w:p>
        </w:tc>
        <w:tc>
          <w:tcPr>
            <w:tcW w:w="763" w:type="pct"/>
            <w:tcBorders>
              <w:top w:val="single" w:color="auto" w:sz="4" w:space="0"/>
              <w:left w:val="single" w:color="auto" w:sz="4" w:space="0"/>
              <w:bottom w:val="single" w:color="auto" w:sz="4" w:space="0"/>
              <w:right w:val="single" w:color="auto" w:sz="4" w:space="0"/>
            </w:tcBorders>
            <w:vAlign w:val="center"/>
          </w:tcPr>
          <w:p w14:paraId="7B71C57C">
            <w:pPr>
              <w:spacing w:line="240" w:lineRule="auto"/>
              <w:ind w:firstLine="0" w:firstLineChars="0"/>
              <w:jc w:val="center"/>
              <w:rPr>
                <w:bCs/>
                <w:sz w:val="21"/>
                <w:szCs w:val="21"/>
              </w:rPr>
            </w:pPr>
            <w:r>
              <w:rPr>
                <w:rFonts w:hint="eastAsia"/>
                <w:bCs/>
                <w:sz w:val="21"/>
                <w:szCs w:val="21"/>
              </w:rPr>
              <w:t>≥90</w:t>
            </w:r>
          </w:p>
        </w:tc>
        <w:tc>
          <w:tcPr>
            <w:tcW w:w="761" w:type="pct"/>
            <w:tcBorders>
              <w:top w:val="single" w:color="auto" w:sz="4" w:space="0"/>
              <w:left w:val="single" w:color="auto" w:sz="4" w:space="0"/>
              <w:bottom w:val="single" w:color="auto" w:sz="4" w:space="0"/>
              <w:right w:val="single" w:color="auto" w:sz="4" w:space="0"/>
            </w:tcBorders>
            <w:vAlign w:val="center"/>
          </w:tcPr>
          <w:p w14:paraId="56B2111E">
            <w:pPr>
              <w:spacing w:line="240" w:lineRule="auto"/>
              <w:ind w:firstLine="0" w:firstLineChars="0"/>
              <w:jc w:val="center"/>
              <w:rPr>
                <w:bCs/>
                <w:sz w:val="21"/>
                <w:szCs w:val="21"/>
              </w:rPr>
            </w:pPr>
            <w:r>
              <w:rPr>
                <w:rFonts w:hint="eastAsia"/>
                <w:bCs/>
                <w:sz w:val="21"/>
                <w:szCs w:val="21"/>
              </w:rPr>
              <w:t>150</w:t>
            </w:r>
          </w:p>
        </w:tc>
      </w:tr>
      <w:tr w14:paraId="76D18987">
        <w:tblPrEx>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783" w:type="pct"/>
            <w:gridSpan w:val="2"/>
            <w:tcBorders>
              <w:top w:val="single" w:color="auto" w:sz="4" w:space="0"/>
              <w:left w:val="single" w:color="auto" w:sz="4" w:space="0"/>
              <w:bottom w:val="single" w:color="auto" w:sz="4" w:space="0"/>
              <w:right w:val="single" w:color="auto" w:sz="4" w:space="0"/>
            </w:tcBorders>
            <w:vAlign w:val="center"/>
          </w:tcPr>
          <w:p w14:paraId="3E240FD4">
            <w:pPr>
              <w:spacing w:line="240" w:lineRule="auto"/>
              <w:ind w:firstLine="0" w:firstLineChars="0"/>
              <w:jc w:val="center"/>
              <w:rPr>
                <w:bCs/>
                <w:sz w:val="21"/>
                <w:szCs w:val="21"/>
              </w:rPr>
            </w:pPr>
            <w:r>
              <w:rPr>
                <w:rFonts w:hint="eastAsia"/>
                <w:bCs/>
                <w:sz w:val="21"/>
                <w:szCs w:val="21"/>
              </w:rPr>
              <w:t>零填及挖方路基</w:t>
            </w:r>
          </w:p>
        </w:tc>
        <w:tc>
          <w:tcPr>
            <w:tcW w:w="647" w:type="pct"/>
            <w:tcBorders>
              <w:top w:val="single" w:color="auto" w:sz="4" w:space="0"/>
              <w:left w:val="single" w:color="auto" w:sz="4" w:space="0"/>
              <w:bottom w:val="single" w:color="auto" w:sz="4" w:space="0"/>
              <w:right w:val="single" w:color="auto" w:sz="4" w:space="0"/>
            </w:tcBorders>
            <w:vAlign w:val="center"/>
          </w:tcPr>
          <w:p w14:paraId="08800B90">
            <w:pPr>
              <w:spacing w:line="240" w:lineRule="auto"/>
              <w:ind w:firstLine="0" w:firstLineChars="0"/>
              <w:jc w:val="center"/>
              <w:rPr>
                <w:bCs/>
                <w:sz w:val="21"/>
                <w:szCs w:val="21"/>
              </w:rPr>
            </w:pPr>
            <w:r>
              <w:rPr>
                <w:rFonts w:hint="eastAsia"/>
                <w:bCs/>
                <w:sz w:val="21"/>
                <w:szCs w:val="21"/>
              </w:rPr>
              <w:t>0～0.</w:t>
            </w:r>
            <w:r>
              <w:rPr>
                <w:bCs/>
                <w:sz w:val="21"/>
                <w:szCs w:val="21"/>
              </w:rPr>
              <w:t>8</w:t>
            </w:r>
          </w:p>
        </w:tc>
        <w:tc>
          <w:tcPr>
            <w:tcW w:w="587" w:type="pct"/>
            <w:tcBorders>
              <w:top w:val="single" w:color="auto" w:sz="4" w:space="0"/>
              <w:left w:val="single" w:color="auto" w:sz="4" w:space="0"/>
              <w:bottom w:val="single" w:color="auto" w:sz="4" w:space="0"/>
              <w:right w:val="single" w:color="auto" w:sz="4" w:space="0"/>
            </w:tcBorders>
            <w:vAlign w:val="center"/>
          </w:tcPr>
          <w:p w14:paraId="33485B18">
            <w:pPr>
              <w:spacing w:line="240" w:lineRule="auto"/>
              <w:ind w:firstLine="0" w:firstLineChars="0"/>
              <w:jc w:val="center"/>
              <w:rPr>
                <w:bCs/>
                <w:sz w:val="21"/>
                <w:szCs w:val="21"/>
              </w:rPr>
            </w:pPr>
            <w:r>
              <w:rPr>
                <w:rFonts w:hint="eastAsia"/>
                <w:bCs/>
                <w:sz w:val="21"/>
                <w:szCs w:val="21"/>
              </w:rPr>
              <w:t>6</w:t>
            </w:r>
          </w:p>
        </w:tc>
        <w:tc>
          <w:tcPr>
            <w:tcW w:w="696" w:type="pct"/>
            <w:tcBorders>
              <w:top w:val="single" w:color="auto" w:sz="4" w:space="0"/>
              <w:left w:val="single" w:color="auto" w:sz="4" w:space="0"/>
              <w:bottom w:val="single" w:color="auto" w:sz="4" w:space="0"/>
              <w:right w:val="single" w:color="auto" w:sz="4" w:space="0"/>
            </w:tcBorders>
            <w:vAlign w:val="center"/>
          </w:tcPr>
          <w:p w14:paraId="79DB8201">
            <w:pPr>
              <w:spacing w:line="240" w:lineRule="auto"/>
              <w:ind w:firstLine="0" w:firstLineChars="0"/>
              <w:jc w:val="center"/>
              <w:rPr>
                <w:bCs/>
                <w:sz w:val="21"/>
                <w:szCs w:val="21"/>
              </w:rPr>
            </w:pPr>
            <w:r>
              <w:rPr>
                <w:rFonts w:hint="eastAsia"/>
                <w:bCs/>
                <w:sz w:val="21"/>
                <w:szCs w:val="21"/>
              </w:rPr>
              <w:t>5</w:t>
            </w:r>
          </w:p>
        </w:tc>
        <w:tc>
          <w:tcPr>
            <w:tcW w:w="763" w:type="pct"/>
            <w:tcBorders>
              <w:top w:val="single" w:color="auto" w:sz="4" w:space="0"/>
              <w:left w:val="single" w:color="auto" w:sz="4" w:space="0"/>
              <w:bottom w:val="single" w:color="auto" w:sz="4" w:space="0"/>
              <w:right w:val="single" w:color="auto" w:sz="4" w:space="0"/>
            </w:tcBorders>
            <w:vAlign w:val="center"/>
          </w:tcPr>
          <w:p w14:paraId="75175BD8">
            <w:pPr>
              <w:spacing w:line="240" w:lineRule="auto"/>
              <w:ind w:firstLine="0" w:firstLineChars="0"/>
              <w:jc w:val="center"/>
              <w:rPr>
                <w:bCs/>
                <w:sz w:val="21"/>
                <w:szCs w:val="21"/>
              </w:rPr>
            </w:pPr>
            <w:r>
              <w:rPr>
                <w:rFonts w:hint="eastAsia"/>
                <w:bCs/>
                <w:sz w:val="21"/>
                <w:szCs w:val="21"/>
              </w:rPr>
              <w:t>≥94</w:t>
            </w:r>
          </w:p>
        </w:tc>
        <w:tc>
          <w:tcPr>
            <w:tcW w:w="763" w:type="pct"/>
            <w:tcBorders>
              <w:top w:val="single" w:color="auto" w:sz="4" w:space="0"/>
              <w:left w:val="single" w:color="auto" w:sz="4" w:space="0"/>
              <w:bottom w:val="single" w:color="auto" w:sz="4" w:space="0"/>
              <w:right w:val="single" w:color="auto" w:sz="4" w:space="0"/>
            </w:tcBorders>
            <w:vAlign w:val="center"/>
          </w:tcPr>
          <w:p w14:paraId="1C2B547F">
            <w:pPr>
              <w:spacing w:line="240" w:lineRule="auto"/>
              <w:ind w:firstLine="0" w:firstLineChars="0"/>
              <w:jc w:val="center"/>
              <w:rPr>
                <w:bCs/>
                <w:sz w:val="21"/>
                <w:szCs w:val="21"/>
              </w:rPr>
            </w:pPr>
            <w:r>
              <w:rPr>
                <w:rFonts w:hint="eastAsia"/>
                <w:bCs/>
                <w:sz w:val="21"/>
                <w:szCs w:val="21"/>
              </w:rPr>
              <w:t>≥92</w:t>
            </w:r>
          </w:p>
        </w:tc>
        <w:tc>
          <w:tcPr>
            <w:tcW w:w="761" w:type="pct"/>
            <w:tcBorders>
              <w:top w:val="single" w:color="auto" w:sz="4" w:space="0"/>
              <w:left w:val="single" w:color="auto" w:sz="4" w:space="0"/>
              <w:bottom w:val="single" w:color="auto" w:sz="4" w:space="0"/>
              <w:right w:val="single" w:color="auto" w:sz="4" w:space="0"/>
            </w:tcBorders>
            <w:vAlign w:val="center"/>
          </w:tcPr>
          <w:p w14:paraId="45555CAF">
            <w:pPr>
              <w:spacing w:line="240" w:lineRule="auto"/>
              <w:ind w:firstLine="0" w:firstLineChars="0"/>
              <w:jc w:val="center"/>
              <w:rPr>
                <w:bCs/>
                <w:sz w:val="21"/>
                <w:szCs w:val="21"/>
              </w:rPr>
            </w:pPr>
            <w:r>
              <w:rPr>
                <w:rFonts w:hint="eastAsia"/>
                <w:bCs/>
                <w:sz w:val="21"/>
                <w:szCs w:val="21"/>
              </w:rPr>
              <w:t>100</w:t>
            </w:r>
          </w:p>
        </w:tc>
      </w:tr>
    </w:tbl>
    <w:p w14:paraId="572C7D1F">
      <w:pPr>
        <w:ind w:firstLine="480"/>
      </w:pPr>
      <w:bookmarkStart w:id="116" w:name="_Hlk49004779"/>
      <w:r>
        <w:rPr>
          <w:rFonts w:hint="eastAsia"/>
        </w:rPr>
        <w:t>（</w:t>
      </w:r>
      <w:r>
        <w:t>6</w:t>
      </w:r>
      <w:r>
        <w:rPr>
          <w:rFonts w:hint="eastAsia"/>
        </w:rPr>
        <w:t>）路基容许工后变形</w:t>
      </w:r>
    </w:p>
    <w:bookmarkEnd w:id="116"/>
    <w:p w14:paraId="17DE8F36">
      <w:pPr>
        <w:ind w:firstLine="480"/>
      </w:pPr>
      <w:r>
        <w:rPr>
          <w:rFonts w:hint="eastAsia"/>
        </w:rPr>
        <w:t>路面设计基准期内，路基容许工后变形应满足《城市道路路基设计规范》（CJJ194-2013）的规定。</w:t>
      </w:r>
    </w:p>
    <w:p w14:paraId="4A869D0C">
      <w:pPr>
        <w:ind w:firstLine="0" w:firstLineChars="0"/>
        <w:jc w:val="center"/>
        <w:rPr>
          <w:b/>
          <w:bCs/>
        </w:rPr>
      </w:pPr>
      <w:r>
        <w:rPr>
          <w:rFonts w:hint="eastAsia"/>
          <w:b/>
          <w:bCs/>
        </w:rPr>
        <w:t>路基容许工后变形</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520"/>
        <w:gridCol w:w="2521"/>
      </w:tblGrid>
      <w:tr w14:paraId="5D061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2520" w:type="dxa"/>
            <w:tcBorders>
              <w:tl2br w:val="single" w:color="auto" w:sz="4" w:space="0"/>
            </w:tcBorders>
            <w:vAlign w:val="center"/>
          </w:tcPr>
          <w:p w14:paraId="2D8FBE8C">
            <w:pPr>
              <w:spacing w:line="240" w:lineRule="auto"/>
              <w:ind w:firstLine="0" w:firstLineChars="0"/>
              <w:jc w:val="center"/>
            </w:pPr>
            <w:r>
              <w:rPr>
                <w:rFonts w:hint="eastAsia"/>
              </w:rPr>
              <w:t xml:space="preserve"> </w:t>
            </w:r>
            <w:r>
              <w:t xml:space="preserve">           </w:t>
            </w:r>
            <w:r>
              <w:rPr>
                <w:rFonts w:hint="eastAsia"/>
              </w:rPr>
              <w:t>工程位置</w:t>
            </w:r>
          </w:p>
          <w:p w14:paraId="153F4B0C">
            <w:pPr>
              <w:spacing w:line="240" w:lineRule="auto"/>
              <w:ind w:firstLine="0" w:firstLineChars="0"/>
            </w:pPr>
            <w:r>
              <w:rPr>
                <w:rFonts w:hint="eastAsia"/>
              </w:rPr>
              <w:t>道路等级</w:t>
            </w:r>
          </w:p>
        </w:tc>
        <w:tc>
          <w:tcPr>
            <w:tcW w:w="2520" w:type="dxa"/>
            <w:vAlign w:val="center"/>
          </w:tcPr>
          <w:p w14:paraId="382EBC70">
            <w:pPr>
              <w:spacing w:line="240" w:lineRule="auto"/>
              <w:ind w:firstLine="0" w:firstLineChars="0"/>
              <w:jc w:val="center"/>
            </w:pPr>
            <w:r>
              <w:rPr>
                <w:rFonts w:hint="eastAsia"/>
              </w:rPr>
              <w:t>桥台与路堤相邻处</w:t>
            </w:r>
          </w:p>
        </w:tc>
        <w:tc>
          <w:tcPr>
            <w:tcW w:w="2520" w:type="dxa"/>
            <w:vAlign w:val="center"/>
          </w:tcPr>
          <w:p w14:paraId="73FFED8D">
            <w:pPr>
              <w:spacing w:line="240" w:lineRule="auto"/>
              <w:ind w:firstLine="0" w:firstLineChars="0"/>
              <w:jc w:val="center"/>
            </w:pPr>
            <w:r>
              <w:rPr>
                <w:rFonts w:hint="eastAsia"/>
              </w:rPr>
              <w:t>涵洞、通道处</w:t>
            </w:r>
          </w:p>
        </w:tc>
        <w:tc>
          <w:tcPr>
            <w:tcW w:w="2521" w:type="dxa"/>
            <w:vAlign w:val="center"/>
          </w:tcPr>
          <w:p w14:paraId="3C492466">
            <w:pPr>
              <w:spacing w:line="240" w:lineRule="auto"/>
              <w:ind w:firstLine="0" w:firstLineChars="0"/>
              <w:jc w:val="center"/>
            </w:pPr>
            <w:r>
              <w:rPr>
                <w:rFonts w:hint="eastAsia"/>
              </w:rPr>
              <w:t>一般路段</w:t>
            </w:r>
          </w:p>
        </w:tc>
      </w:tr>
      <w:tr w14:paraId="33A4E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0" w:type="dxa"/>
            <w:vAlign w:val="center"/>
          </w:tcPr>
          <w:p w14:paraId="4EEE2979">
            <w:pPr>
              <w:spacing w:line="240" w:lineRule="auto"/>
              <w:ind w:firstLine="0" w:firstLineChars="0"/>
              <w:jc w:val="center"/>
            </w:pPr>
            <w:r>
              <w:rPr>
                <w:rFonts w:hint="eastAsia"/>
              </w:rPr>
              <w:t>快速路、主干路</w:t>
            </w:r>
          </w:p>
        </w:tc>
        <w:tc>
          <w:tcPr>
            <w:tcW w:w="2520" w:type="dxa"/>
            <w:vAlign w:val="center"/>
          </w:tcPr>
          <w:p w14:paraId="21B9D602">
            <w:pPr>
              <w:spacing w:line="240" w:lineRule="auto"/>
              <w:ind w:firstLine="0" w:firstLineChars="0"/>
              <w:jc w:val="center"/>
            </w:pPr>
            <w:r>
              <w:rPr>
                <w:rFonts w:hint="eastAsia"/>
              </w:rPr>
              <w:t>≤0</w:t>
            </w:r>
            <w:r>
              <w:t>.10</w:t>
            </w:r>
            <w:r>
              <w:rPr>
                <w:rFonts w:hint="eastAsia"/>
              </w:rPr>
              <w:t>m</w:t>
            </w:r>
          </w:p>
        </w:tc>
        <w:tc>
          <w:tcPr>
            <w:tcW w:w="2520" w:type="dxa"/>
            <w:vAlign w:val="center"/>
          </w:tcPr>
          <w:p w14:paraId="7153D667">
            <w:pPr>
              <w:spacing w:line="240" w:lineRule="auto"/>
              <w:ind w:firstLine="0" w:firstLineChars="0"/>
              <w:jc w:val="center"/>
            </w:pPr>
            <w:r>
              <w:rPr>
                <w:rFonts w:hint="eastAsia"/>
              </w:rPr>
              <w:t>≤0</w:t>
            </w:r>
            <w:r>
              <w:t>.20</w:t>
            </w:r>
            <w:r>
              <w:rPr>
                <w:rFonts w:hint="eastAsia"/>
              </w:rPr>
              <w:t>m</w:t>
            </w:r>
          </w:p>
        </w:tc>
        <w:tc>
          <w:tcPr>
            <w:tcW w:w="2521" w:type="dxa"/>
            <w:vAlign w:val="center"/>
          </w:tcPr>
          <w:p w14:paraId="385518CA">
            <w:pPr>
              <w:spacing w:line="240" w:lineRule="auto"/>
              <w:ind w:firstLine="0" w:firstLineChars="0"/>
              <w:jc w:val="center"/>
            </w:pPr>
            <w:r>
              <w:rPr>
                <w:rFonts w:hint="eastAsia"/>
              </w:rPr>
              <w:t>≤0</w:t>
            </w:r>
            <w:r>
              <w:t>.30</w:t>
            </w:r>
            <w:r>
              <w:rPr>
                <w:rFonts w:hint="eastAsia"/>
              </w:rPr>
              <w:t>m</w:t>
            </w:r>
          </w:p>
        </w:tc>
      </w:tr>
      <w:tr w14:paraId="68AE4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20" w:type="dxa"/>
            <w:vAlign w:val="center"/>
          </w:tcPr>
          <w:p w14:paraId="5790A3FB">
            <w:pPr>
              <w:spacing w:line="240" w:lineRule="auto"/>
              <w:ind w:firstLine="0" w:firstLineChars="0"/>
              <w:jc w:val="center"/>
            </w:pPr>
            <w:r>
              <w:rPr>
                <w:rFonts w:hint="eastAsia"/>
              </w:rPr>
              <w:t>次干路、支路</w:t>
            </w:r>
          </w:p>
        </w:tc>
        <w:tc>
          <w:tcPr>
            <w:tcW w:w="2520" w:type="dxa"/>
            <w:vAlign w:val="center"/>
          </w:tcPr>
          <w:p w14:paraId="62EFA93A">
            <w:pPr>
              <w:spacing w:line="240" w:lineRule="auto"/>
              <w:ind w:firstLine="0" w:firstLineChars="0"/>
              <w:jc w:val="center"/>
            </w:pPr>
            <w:r>
              <w:rPr>
                <w:rFonts w:hint="eastAsia"/>
              </w:rPr>
              <w:t>≤0</w:t>
            </w:r>
            <w:r>
              <w:t>.20</w:t>
            </w:r>
            <w:r>
              <w:rPr>
                <w:rFonts w:hint="eastAsia"/>
              </w:rPr>
              <w:t>m</w:t>
            </w:r>
          </w:p>
        </w:tc>
        <w:tc>
          <w:tcPr>
            <w:tcW w:w="2520" w:type="dxa"/>
            <w:vAlign w:val="center"/>
          </w:tcPr>
          <w:p w14:paraId="1F3BF621">
            <w:pPr>
              <w:spacing w:line="240" w:lineRule="auto"/>
              <w:ind w:firstLine="0" w:firstLineChars="0"/>
              <w:jc w:val="center"/>
            </w:pPr>
            <w:r>
              <w:rPr>
                <w:rFonts w:hint="eastAsia"/>
              </w:rPr>
              <w:t>≤0</w:t>
            </w:r>
            <w:r>
              <w:t>.30</w:t>
            </w:r>
            <w:r>
              <w:rPr>
                <w:rFonts w:hint="eastAsia"/>
              </w:rPr>
              <w:t>m</w:t>
            </w:r>
          </w:p>
        </w:tc>
        <w:tc>
          <w:tcPr>
            <w:tcW w:w="2521" w:type="dxa"/>
            <w:vAlign w:val="center"/>
          </w:tcPr>
          <w:p w14:paraId="5A5E2495">
            <w:pPr>
              <w:spacing w:line="240" w:lineRule="auto"/>
              <w:ind w:firstLine="0" w:firstLineChars="0"/>
              <w:jc w:val="center"/>
            </w:pPr>
            <w:r>
              <w:rPr>
                <w:rFonts w:hint="eastAsia"/>
              </w:rPr>
              <w:t>≤0</w:t>
            </w:r>
            <w:r>
              <w:t>.50</w:t>
            </w:r>
            <w:r>
              <w:rPr>
                <w:rFonts w:hint="eastAsia"/>
              </w:rPr>
              <w:t>m</w:t>
            </w:r>
          </w:p>
        </w:tc>
      </w:tr>
    </w:tbl>
    <w:p w14:paraId="626B58BF">
      <w:pPr>
        <w:pStyle w:val="5"/>
        <w:spacing w:before="0" w:beforeLines="0" w:after="0" w:afterLines="0"/>
        <w:ind w:firstLine="561"/>
        <w:rPr>
          <w:b/>
          <w:bCs w:val="0"/>
        </w:rPr>
      </w:pPr>
      <w:bookmarkStart w:id="117" w:name="_Toc24638"/>
      <w:r>
        <w:rPr>
          <w:rFonts w:hint="eastAsia"/>
          <w:bCs w:val="0"/>
        </w:rPr>
        <w:t>路基、路面排水设计</w:t>
      </w:r>
      <w:bookmarkEnd w:id="117"/>
    </w:p>
    <w:p w14:paraId="4B388801">
      <w:pPr>
        <w:ind w:firstLine="480"/>
      </w:pPr>
      <w:r>
        <w:rPr>
          <w:rFonts w:hint="eastAsia"/>
        </w:rPr>
        <w:t>降落在路面上的雨水，应通过路面横坡迅速排出路面范围，避免行车道路面范围内出现积水而影响行车安全。</w:t>
      </w:r>
    </w:p>
    <w:p w14:paraId="52C6686D">
      <w:pPr>
        <w:ind w:firstLine="480"/>
      </w:pPr>
      <w:r>
        <w:rPr>
          <w:rFonts w:hint="eastAsia"/>
        </w:rPr>
        <w:t>本项目通过挡土墙防护，基本无路基排水，为避免雨水过多地渗入路面结构，沥青混凝土上、中、下面层结构均采用密级配。本项目全线设置有完善的排水、海绵系统，路面雨水由雨水口收集，排入雨水管网。</w:t>
      </w:r>
    </w:p>
    <w:p w14:paraId="06E77992">
      <w:pPr>
        <w:ind w:firstLine="480"/>
      </w:pPr>
      <w:r>
        <w:rPr>
          <w:rFonts w:hint="eastAsia"/>
        </w:rPr>
        <w:t>道路红线与周边与小区紧靠，场地限制故不设计排水边沟，道路路面排水由路面收集统一排进新建雨水管道。</w:t>
      </w:r>
    </w:p>
    <w:p w14:paraId="08A17F01">
      <w:pPr>
        <w:pStyle w:val="5"/>
        <w:spacing w:before="0" w:beforeLines="0" w:after="0" w:afterLines="0"/>
        <w:ind w:firstLine="561"/>
        <w:rPr>
          <w:b/>
          <w:bCs w:val="0"/>
        </w:rPr>
      </w:pPr>
      <w:bookmarkStart w:id="118" w:name="_Toc8004"/>
      <w:r>
        <w:rPr>
          <w:rFonts w:hint="eastAsia"/>
          <w:bCs w:val="0"/>
        </w:rPr>
        <w:t>路基防护</w:t>
      </w:r>
      <w:bookmarkEnd w:id="118"/>
    </w:p>
    <w:p w14:paraId="0B0F741B">
      <w:pPr>
        <w:ind w:firstLine="480"/>
        <w:rPr>
          <w:rFonts w:hint="default"/>
          <w:lang w:val="en-US" w:eastAsia="zh-CN"/>
        </w:rPr>
      </w:pPr>
      <w:r>
        <w:rPr>
          <w:rFonts w:hint="eastAsia"/>
          <w:lang w:val="en-US" w:eastAsia="zh-CN"/>
        </w:rPr>
        <w:t>本次永安东路道路设计起点与在建永安东路工程接顺，终点与临时路衔接，道路南北两侧分别是幼儿园地块及永安东路在建工程，道路与周边接平，路基不采用放坡形式。</w:t>
      </w:r>
    </w:p>
    <w:p w14:paraId="20A1042D">
      <w:pPr>
        <w:pStyle w:val="5"/>
        <w:spacing w:before="0" w:beforeLines="0" w:after="0" w:afterLines="0"/>
        <w:ind w:firstLine="561"/>
        <w:rPr>
          <w:b/>
          <w:bCs w:val="0"/>
        </w:rPr>
      </w:pPr>
      <w:bookmarkStart w:id="119" w:name="_Toc24902"/>
      <w:r>
        <w:rPr>
          <w:rFonts w:hint="eastAsia"/>
          <w:bCs w:val="0"/>
        </w:rPr>
        <w:t>路基处理</w:t>
      </w:r>
      <w:bookmarkEnd w:id="119"/>
    </w:p>
    <w:p w14:paraId="5C29FF5F">
      <w:pPr>
        <w:ind w:firstLine="480"/>
      </w:pPr>
      <w:r>
        <w:rPr>
          <w:rFonts w:hint="eastAsia"/>
        </w:rPr>
        <w:t>（</w:t>
      </w:r>
      <w:r>
        <w:t>1</w:t>
      </w:r>
      <w:r>
        <w:rPr>
          <w:rFonts w:hint="eastAsia"/>
        </w:rPr>
        <w:t>）现状路基概况</w:t>
      </w:r>
    </w:p>
    <w:p w14:paraId="5236D539">
      <w:pPr>
        <w:snapToGrid w:val="0"/>
        <w:spacing w:before="72"/>
        <w:ind w:firstLine="480"/>
        <w:rPr>
          <w:snapToGrid w:val="0"/>
        </w:rPr>
      </w:pPr>
      <w:r>
        <w:rPr>
          <w:rFonts w:hint="eastAsia"/>
          <w:snapToGrid w:val="0"/>
          <w:lang w:val="en-US" w:eastAsia="zh-CN"/>
        </w:rPr>
        <w:t>参考</w:t>
      </w:r>
      <w:r>
        <w:rPr>
          <w:rFonts w:hint="eastAsia"/>
          <w:snapToGrid w:val="0"/>
        </w:rPr>
        <w:t>《广州空港经济区起步区拆迁安置区（花东安置区）一期工程岩土工程勘察报告（详细勘察）》2</w:t>
      </w:r>
      <w:r>
        <w:rPr>
          <w:snapToGrid w:val="0"/>
        </w:rPr>
        <w:t>021.07</w:t>
      </w:r>
      <w:r>
        <w:rPr>
          <w:rFonts w:hint="eastAsia"/>
          <w:snapToGrid w:val="0"/>
        </w:rPr>
        <w:t>修编版，本项目沿线建设场地主要位于山体，土质良好，无淤泥层等软弱土层分布。</w:t>
      </w:r>
    </w:p>
    <w:p w14:paraId="1C9ED343">
      <w:pPr>
        <w:ind w:firstLine="480"/>
        <w:rPr>
          <w:color w:val="000000" w:themeColor="text1"/>
        </w:rPr>
      </w:pPr>
      <w:r>
        <w:rPr>
          <w:rFonts w:hint="eastAsia"/>
          <w:color w:val="000000" w:themeColor="text1"/>
        </w:rPr>
        <w:t>（</w:t>
      </w:r>
      <w:r>
        <w:rPr>
          <w:color w:val="000000" w:themeColor="text1"/>
        </w:rPr>
        <w:t>2</w:t>
      </w:r>
      <w:r>
        <w:rPr>
          <w:rFonts w:hint="eastAsia"/>
          <w:color w:val="000000" w:themeColor="text1"/>
        </w:rPr>
        <w:t>）路基处理方案</w:t>
      </w:r>
    </w:p>
    <w:p w14:paraId="141B65DE">
      <w:pPr>
        <w:ind w:firstLine="480"/>
        <w:rPr>
          <w:color w:val="000000" w:themeColor="text1"/>
        </w:rPr>
      </w:pPr>
      <w:r>
        <w:rPr>
          <w:rFonts w:hint="eastAsia"/>
          <w:snapToGrid w:val="0"/>
        </w:rPr>
        <w:t>本项目地质情况良好，场地平整后，揭露的土层为全、强、中风化砂岩，强风化炭质灰岩，无特殊路基需要处理。由于本项目在场地平整后实施路面结构，考虑道路路床要求，本项目对场地平整后的填方路段换填砂性土，换填深度50cm，平整碾压后再实施路面结构及相关设施。场地平整的土方压实度、回填材料、回弹模量要达到路基规范要求才能利用，否则应单独再行处理。</w:t>
      </w:r>
    </w:p>
    <w:p w14:paraId="7A1FB5C9">
      <w:pPr>
        <w:pStyle w:val="5"/>
        <w:spacing w:before="163" w:after="163"/>
        <w:ind w:firstLine="560"/>
        <w:rPr>
          <w:b/>
          <w:bCs w:val="0"/>
        </w:rPr>
      </w:pPr>
      <w:bookmarkStart w:id="120" w:name="_Toc2098"/>
      <w:r>
        <w:rPr>
          <w:rFonts w:hint="eastAsia"/>
          <w:bCs w:val="0"/>
        </w:rPr>
        <w:t>路面结构设计</w:t>
      </w:r>
      <w:bookmarkEnd w:id="120"/>
    </w:p>
    <w:p w14:paraId="2D8DCC71">
      <w:pPr>
        <w:ind w:firstLine="480"/>
      </w:pPr>
      <w:r>
        <w:rPr>
          <w:rFonts w:hint="eastAsia"/>
        </w:rPr>
        <w:t>（1）自然区划与路面选型因素</w:t>
      </w:r>
    </w:p>
    <w:p w14:paraId="33E8DE99">
      <w:pPr>
        <w:ind w:firstLine="480"/>
      </w:pPr>
      <w:r>
        <w:rPr>
          <w:rFonts w:hint="eastAsia"/>
        </w:rPr>
        <w:t>本项目所在区域为华南沿海台风区，按公路自然区划图为Ⅳ</w:t>
      </w:r>
      <w:r>
        <w:rPr>
          <w:rFonts w:hint="eastAsia"/>
          <w:vertAlign w:val="subscript"/>
        </w:rPr>
        <w:t>7</w:t>
      </w:r>
      <w:r>
        <w:rPr>
          <w:rFonts w:hint="eastAsia"/>
        </w:rPr>
        <w:t>区，属亚热带海洋季风气候，温暖潮湿，雨量充沛，因此要求选用高质量的路面结构类型，充分发挥道路的使用功能。</w:t>
      </w:r>
    </w:p>
    <w:p w14:paraId="07B05B5E">
      <w:pPr>
        <w:ind w:firstLine="480"/>
      </w:pPr>
      <w:r>
        <w:rPr>
          <w:rFonts w:hint="eastAsia"/>
        </w:rPr>
        <w:t>（2）设计原则</w:t>
      </w:r>
    </w:p>
    <w:p w14:paraId="13ADD914">
      <w:pPr>
        <w:ind w:firstLine="480"/>
      </w:pPr>
      <w:r>
        <w:rPr>
          <w:rFonts w:hint="eastAsia"/>
        </w:rPr>
        <w:t>1）根据预测交通量、道路使用要求及气候、水文、土质等自然条件和交通量分布情况，结合当地各等级路面设计及施工经验，以及本项目的特点，进行本项目路面结构综合设计。</w:t>
      </w:r>
    </w:p>
    <w:p w14:paraId="0F6D8306">
      <w:pPr>
        <w:ind w:firstLine="480"/>
      </w:pPr>
      <w:r>
        <w:rPr>
          <w:rFonts w:hint="eastAsia"/>
        </w:rPr>
        <w:t>2）本项目所处公路自然区划为Ⅳ</w:t>
      </w:r>
      <w:r>
        <w:rPr>
          <w:rFonts w:hint="eastAsia"/>
          <w:vertAlign w:val="subscript"/>
        </w:rPr>
        <w:t>7</w:t>
      </w:r>
      <w:r>
        <w:rPr>
          <w:rFonts w:hint="eastAsia"/>
        </w:rPr>
        <w:t>华南沿海台风区，雨量充沛，设计方案应保证路面结构安全。</w:t>
      </w:r>
    </w:p>
    <w:p w14:paraId="77483DD7">
      <w:pPr>
        <w:ind w:firstLine="480"/>
      </w:pPr>
      <w:r>
        <w:rPr>
          <w:rFonts w:hint="eastAsia"/>
        </w:rPr>
        <w:t>3）本着因地制宜、生态环保、方便施工、提高工程质量、节约投资的原则，选取了经济合理、方便可行并适合该地区情况的路面结构方案。</w:t>
      </w:r>
    </w:p>
    <w:p w14:paraId="297957F2">
      <w:pPr>
        <w:ind w:firstLine="480"/>
      </w:pPr>
      <w:r>
        <w:rPr>
          <w:rFonts w:hint="eastAsia"/>
        </w:rPr>
        <w:t>（3）技术标准</w:t>
      </w:r>
    </w:p>
    <w:p w14:paraId="2F2F95B0">
      <w:pPr>
        <w:ind w:firstLine="480"/>
      </w:pPr>
      <w:r>
        <w:rPr>
          <w:rFonts w:hint="eastAsia"/>
        </w:rPr>
        <w:t>根据本项目地区的实际情况，本项目采用沥青混凝土路面结构。</w:t>
      </w:r>
    </w:p>
    <w:p w14:paraId="4F8E524F">
      <w:pPr>
        <w:ind w:firstLine="480"/>
        <w:rPr>
          <w:rFonts w:hint="eastAsia" w:ascii="Times New Roman" w:hAnsi="Times New Roman" w:eastAsia="宋体"/>
          <w:lang w:val="en-US" w:eastAsia="zh-CN"/>
        </w:rPr>
      </w:pPr>
      <w:r>
        <w:rPr>
          <w:rFonts w:hint="eastAsia" w:ascii="Times New Roman" w:hAnsi="Times New Roman" w:eastAsia="宋体"/>
        </w:rPr>
        <w:t>路面结构设计采用单轴-双轮组轴载100KN为标准轴载（标准轴载BZZ-100），沥青混凝土路面设计基准期次干路为15年</w:t>
      </w:r>
      <w:r>
        <w:rPr>
          <w:rFonts w:hint="eastAsia" w:ascii="Times New Roman" w:hAnsi="Times New Roman" w:eastAsia="宋体"/>
          <w:lang w:val="en-US" w:eastAsia="zh-CN"/>
        </w:rPr>
        <w:t>。</w:t>
      </w:r>
    </w:p>
    <w:p w14:paraId="052C8A7D">
      <w:pPr>
        <w:ind w:firstLine="480"/>
        <w:rPr>
          <w:rFonts w:hint="eastAsia" w:ascii="Times New Roman" w:hAnsi="Times New Roman" w:eastAsia="宋体"/>
          <w:color w:val="FF0000"/>
        </w:rPr>
      </w:pPr>
      <w:r>
        <w:rPr>
          <w:rFonts w:hint="eastAsia" w:ascii="Times New Roman" w:hAnsi="Times New Roman" w:eastAsia="宋体"/>
          <w:color w:val="FF0000"/>
          <w:lang w:val="en-US" w:eastAsia="zh-CN"/>
        </w:rPr>
        <w:t>路基顶面</w:t>
      </w:r>
      <w:r>
        <w:rPr>
          <w:rFonts w:hint="eastAsia" w:ascii="Times New Roman" w:hAnsi="Times New Roman" w:eastAsia="宋体"/>
          <w:color w:val="FF0000"/>
        </w:rPr>
        <w:t>模量选用：</w:t>
      </w:r>
      <w:r>
        <w:rPr>
          <w:rFonts w:hint="eastAsia" w:ascii="Times New Roman" w:hAnsi="Times New Roman" w:eastAsia="宋体"/>
          <w:color w:val="FF0000"/>
          <w:lang w:val="en-US" w:eastAsia="zh-CN"/>
        </w:rPr>
        <w:t>路基</w:t>
      </w:r>
      <w:r>
        <w:rPr>
          <w:rFonts w:hint="eastAsia" w:ascii="Times New Roman" w:hAnsi="Times New Roman" w:eastAsia="宋体"/>
          <w:color w:val="FF0000"/>
        </w:rPr>
        <w:t>顶部回弹模量值</w:t>
      </w:r>
      <w:r>
        <w:rPr>
          <w:rFonts w:hint="eastAsia" w:ascii="Times New Roman" w:hAnsi="Times New Roman" w:eastAsia="宋体"/>
          <w:color w:val="FF0000"/>
          <w:lang w:val="en-US" w:eastAsia="zh-CN"/>
        </w:rPr>
        <w:t>不少于40</w:t>
      </w:r>
      <w:r>
        <w:rPr>
          <w:rFonts w:hint="eastAsia" w:ascii="Times New Roman" w:hAnsi="Times New Roman" w:eastAsia="宋体"/>
          <w:color w:val="FF0000"/>
        </w:rPr>
        <w:t>MPa。</w:t>
      </w:r>
    </w:p>
    <w:p w14:paraId="21F88495">
      <w:pPr>
        <w:ind w:firstLine="480"/>
      </w:pPr>
      <w:r>
        <w:rPr>
          <w:rFonts w:hint="eastAsia"/>
        </w:rPr>
        <w:t>（4）路面结构设计</w:t>
      </w:r>
    </w:p>
    <w:p w14:paraId="56030079">
      <w:pPr>
        <w:ind w:firstLine="480"/>
      </w:pPr>
      <w:r>
        <w:rPr>
          <w:rFonts w:hint="eastAsia"/>
        </w:rPr>
        <w:t>根据道路等级、交通量预测值、实施可行性，并结合沿线地质、水文及筑路材料等情况，具体路面结构设计如下。</w:t>
      </w:r>
    </w:p>
    <w:p w14:paraId="4C361293">
      <w:pPr>
        <w:ind w:firstLine="480"/>
      </w:pPr>
      <w:r>
        <w:rPr>
          <w:rFonts w:hint="eastAsia"/>
        </w:rPr>
        <w:t>1）永安东路机动车道路面结构</w:t>
      </w:r>
    </w:p>
    <w:p w14:paraId="53EE9ACE">
      <w:pPr>
        <w:ind w:firstLine="480"/>
      </w:pPr>
      <w:r>
        <w:t>4cm</w:t>
      </w:r>
      <w:r>
        <w:rPr>
          <w:rFonts w:hint="eastAsia"/>
        </w:rPr>
        <w:t>细粒式S</w:t>
      </w:r>
      <w:r>
        <w:t>BS</w:t>
      </w:r>
      <w:r>
        <w:rPr>
          <w:rFonts w:hint="eastAsia"/>
        </w:rPr>
        <w:t>改性沥青混凝土（</w:t>
      </w:r>
      <w:r>
        <w:t>AC-13C</w:t>
      </w:r>
      <w:r>
        <w:rPr>
          <w:rFonts w:hint="eastAsia"/>
        </w:rPr>
        <w:t>）</w:t>
      </w:r>
    </w:p>
    <w:p w14:paraId="03B5C43B">
      <w:pPr>
        <w:ind w:firstLine="480"/>
      </w:pPr>
      <w:r>
        <w:rPr>
          <w:rFonts w:hint="eastAsia"/>
        </w:rPr>
        <w:t>粘层（</w:t>
      </w:r>
      <w:r>
        <w:t>0.5L/m</w:t>
      </w:r>
      <w:r>
        <w:rPr>
          <w:vertAlign w:val="superscript"/>
        </w:rPr>
        <w:t>2</w:t>
      </w:r>
      <w:r>
        <w:rPr>
          <w:rFonts w:hint="eastAsia"/>
        </w:rPr>
        <w:t>PCR喷洒型乳化沥青）</w:t>
      </w:r>
    </w:p>
    <w:p w14:paraId="6F35B46B">
      <w:pPr>
        <w:ind w:firstLine="480"/>
      </w:pPr>
      <w:r>
        <w:t>6cm</w:t>
      </w:r>
      <w:r>
        <w:rPr>
          <w:rFonts w:hint="eastAsia"/>
        </w:rPr>
        <w:t>中粒式普通沥青混凝土（</w:t>
      </w:r>
      <w:r>
        <w:t>AC-20C</w:t>
      </w:r>
      <w:r>
        <w:rPr>
          <w:rFonts w:hint="eastAsia"/>
        </w:rPr>
        <w:t>）</w:t>
      </w:r>
    </w:p>
    <w:p w14:paraId="7A57546B">
      <w:pPr>
        <w:ind w:firstLine="480"/>
      </w:pPr>
      <w:r>
        <w:rPr>
          <w:rFonts w:hint="eastAsia"/>
        </w:rPr>
        <w:t>粘层（</w:t>
      </w:r>
      <w:r>
        <w:t>0.5L/m</w:t>
      </w:r>
      <w:r>
        <w:rPr>
          <w:vertAlign w:val="superscript"/>
        </w:rPr>
        <w:t>2</w:t>
      </w:r>
      <w:r>
        <w:rPr>
          <w:rFonts w:hint="eastAsia"/>
        </w:rPr>
        <w:t>PCR喷洒型乳化沥青）</w:t>
      </w:r>
    </w:p>
    <w:p w14:paraId="034E8E47">
      <w:pPr>
        <w:ind w:firstLine="480"/>
      </w:pPr>
      <w:r>
        <w:t>8cm</w:t>
      </w:r>
      <w:r>
        <w:rPr>
          <w:rFonts w:hint="eastAsia"/>
        </w:rPr>
        <w:t>粗粒式普通沥青混凝土（</w:t>
      </w:r>
      <w:r>
        <w:t>AC-25C</w:t>
      </w:r>
      <w:r>
        <w:rPr>
          <w:rFonts w:hint="eastAsia"/>
        </w:rPr>
        <w:t>）</w:t>
      </w:r>
    </w:p>
    <w:p w14:paraId="77B4E194">
      <w:pPr>
        <w:ind w:firstLine="480"/>
      </w:pPr>
      <w:r>
        <w:rPr>
          <w:rFonts w:hint="eastAsia"/>
        </w:rPr>
        <w:t>下封层：乳化沥青稀浆封层</w:t>
      </w:r>
    </w:p>
    <w:p w14:paraId="713ED5EA">
      <w:pPr>
        <w:ind w:firstLine="480"/>
      </w:pPr>
      <w:r>
        <w:rPr>
          <w:rFonts w:hint="eastAsia"/>
        </w:rPr>
        <w:t>透层（1.5L/m</w:t>
      </w:r>
      <w:r>
        <w:rPr>
          <w:vertAlign w:val="superscript"/>
        </w:rPr>
        <w:t>2</w:t>
      </w:r>
      <w:r>
        <w:rPr>
          <w:rFonts w:hint="eastAsia"/>
        </w:rPr>
        <w:t>液体沥青AL（M）-2透层）</w:t>
      </w:r>
    </w:p>
    <w:p w14:paraId="12A15930">
      <w:pPr>
        <w:ind w:firstLine="480"/>
      </w:pPr>
      <w:r>
        <w:t>34cm5</w:t>
      </w:r>
      <w:r>
        <w:rPr>
          <w:rFonts w:hint="eastAsia"/>
        </w:rPr>
        <w:t>%水泥稳定级配碎石（分两层压实）</w:t>
      </w:r>
    </w:p>
    <w:p w14:paraId="52E73E8F">
      <w:pPr>
        <w:ind w:firstLine="480"/>
      </w:pPr>
      <w:r>
        <w:rPr>
          <w:rFonts w:hint="eastAsia"/>
        </w:rPr>
        <w:t>1</w:t>
      </w:r>
      <w:r>
        <w:t>8cm4%</w:t>
      </w:r>
      <w:r>
        <w:rPr>
          <w:rFonts w:hint="eastAsia"/>
        </w:rPr>
        <w:t>水泥稳定碎石</w:t>
      </w:r>
    </w:p>
    <w:p w14:paraId="097192BA">
      <w:pPr>
        <w:ind w:firstLine="480"/>
      </w:pPr>
      <w:r>
        <w:rPr>
          <w:rFonts w:hint="eastAsia"/>
        </w:rPr>
        <w:t>1</w:t>
      </w:r>
      <w:r>
        <w:t xml:space="preserve">5cm </w:t>
      </w:r>
      <w:r>
        <w:rPr>
          <w:rFonts w:hint="eastAsia"/>
        </w:rPr>
        <w:t>未筛分碎石</w:t>
      </w:r>
    </w:p>
    <w:p w14:paraId="0C57CFAA">
      <w:pPr>
        <w:ind w:firstLine="480"/>
      </w:pPr>
      <w:r>
        <w:rPr>
          <w:rFonts w:hint="eastAsia"/>
        </w:rPr>
        <w:t>总厚度：</w:t>
      </w:r>
      <w:r>
        <w:t>85cm</w:t>
      </w:r>
    </w:p>
    <w:p w14:paraId="16F6CC2D">
      <w:pPr>
        <w:ind w:firstLine="480"/>
      </w:pPr>
      <w:r>
        <w:t>2</w:t>
      </w:r>
      <w:r>
        <w:rPr>
          <w:rFonts w:hint="eastAsia"/>
        </w:rPr>
        <w:t>）非机动车道路面结构</w:t>
      </w:r>
    </w:p>
    <w:p w14:paraId="0DD4011E">
      <w:pPr>
        <w:ind w:firstLine="480"/>
        <w:rPr>
          <w:color w:val="000000" w:themeColor="text1"/>
        </w:rPr>
      </w:pPr>
      <w:r>
        <w:rPr>
          <w:color w:val="000000" w:themeColor="text1"/>
        </w:rPr>
        <w:t>4</w:t>
      </w:r>
      <w:r>
        <w:rPr>
          <w:rFonts w:hint="eastAsia"/>
          <w:color w:val="000000" w:themeColor="text1"/>
        </w:rPr>
        <w:t>cm</w:t>
      </w:r>
      <w:r>
        <w:rPr>
          <w:color w:val="000000" w:themeColor="text1"/>
        </w:rPr>
        <w:t>C30</w:t>
      </w:r>
      <w:r>
        <w:rPr>
          <w:rFonts w:hint="eastAsia"/>
          <w:color w:val="000000" w:themeColor="text1"/>
        </w:rPr>
        <w:t>彩色透水混凝土</w:t>
      </w:r>
    </w:p>
    <w:p w14:paraId="193B9F43">
      <w:pPr>
        <w:ind w:firstLine="480"/>
        <w:rPr>
          <w:color w:val="000000" w:themeColor="text1"/>
        </w:rPr>
      </w:pPr>
      <w:r>
        <w:rPr>
          <w:color w:val="000000" w:themeColor="text1"/>
        </w:rPr>
        <w:t>6cmC30</w:t>
      </w:r>
      <w:r>
        <w:rPr>
          <w:rFonts w:hint="eastAsia"/>
          <w:color w:val="000000" w:themeColor="text1"/>
        </w:rPr>
        <w:t>原色透水混凝土</w:t>
      </w:r>
    </w:p>
    <w:p w14:paraId="1F598C22">
      <w:pPr>
        <w:ind w:firstLine="480"/>
        <w:rPr>
          <w:color w:val="000000" w:themeColor="text1"/>
        </w:rPr>
      </w:pPr>
      <w:r>
        <w:rPr>
          <w:color w:val="000000" w:themeColor="text1"/>
        </w:rPr>
        <w:t>15</w:t>
      </w:r>
      <w:r>
        <w:rPr>
          <w:rFonts w:hint="eastAsia"/>
          <w:color w:val="000000" w:themeColor="text1"/>
        </w:rPr>
        <w:t>cm</w:t>
      </w:r>
      <w:r>
        <w:rPr>
          <w:color w:val="000000" w:themeColor="text1"/>
        </w:rPr>
        <w:t>C20</w:t>
      </w:r>
      <w:r>
        <w:rPr>
          <w:rFonts w:hint="eastAsia"/>
          <w:color w:val="000000" w:themeColor="text1"/>
        </w:rPr>
        <w:t>透水水泥混凝土</w:t>
      </w:r>
    </w:p>
    <w:p w14:paraId="3E21272B">
      <w:pPr>
        <w:ind w:firstLine="480"/>
      </w:pPr>
      <w:r>
        <w:rPr>
          <w:rFonts w:hint="eastAsia"/>
        </w:rPr>
        <w:t>1</w:t>
      </w:r>
      <w:r>
        <w:t xml:space="preserve">5cm </w:t>
      </w:r>
      <w:r>
        <w:rPr>
          <w:rFonts w:hint="eastAsia"/>
        </w:rPr>
        <w:t>未筛分碎石</w:t>
      </w:r>
    </w:p>
    <w:p w14:paraId="14D8BD1E">
      <w:pPr>
        <w:ind w:firstLine="480"/>
      </w:pPr>
      <w:r>
        <w:rPr>
          <w:rFonts w:hint="eastAsia"/>
          <w:color w:val="000000" w:themeColor="text1"/>
        </w:rPr>
        <w:t>路面总厚度</w:t>
      </w:r>
      <w:r>
        <w:rPr>
          <w:color w:val="000000" w:themeColor="text1"/>
        </w:rPr>
        <w:t>40</w:t>
      </w:r>
      <w:r>
        <w:rPr>
          <w:rFonts w:hint="eastAsia"/>
          <w:color w:val="000000" w:themeColor="text1"/>
        </w:rPr>
        <w:t>cm</w:t>
      </w:r>
      <w:r>
        <w:rPr>
          <w:rFonts w:hint="eastAsia"/>
        </w:rPr>
        <w:t>。</w:t>
      </w:r>
    </w:p>
    <w:p w14:paraId="27C9B451">
      <w:pPr>
        <w:ind w:firstLine="480"/>
      </w:pPr>
      <w:r>
        <w:t>3</w:t>
      </w:r>
      <w:r>
        <w:rPr>
          <w:rFonts w:hint="eastAsia"/>
        </w:rPr>
        <w:t>）人行道路面结构</w:t>
      </w:r>
    </w:p>
    <w:p w14:paraId="19325F73">
      <w:pPr>
        <w:ind w:firstLine="480"/>
      </w:pPr>
      <w:r>
        <w:t>8</w:t>
      </w:r>
      <w:r>
        <w:rPr>
          <w:rFonts w:hint="eastAsia"/>
        </w:rPr>
        <w:t>cm混凝土透水砖（灰色）（抗压强度≥Cc40）</w:t>
      </w:r>
    </w:p>
    <w:p w14:paraId="3C848A62">
      <w:pPr>
        <w:ind w:firstLine="480"/>
      </w:pPr>
      <w:r>
        <w:t>2</w:t>
      </w:r>
      <w:r>
        <w:rPr>
          <w:rFonts w:hint="eastAsia"/>
        </w:rPr>
        <w:t>cm干硬性透水水泥砂浆</w:t>
      </w:r>
    </w:p>
    <w:p w14:paraId="43BD9D4C">
      <w:pPr>
        <w:ind w:firstLine="480"/>
      </w:pPr>
      <w:r>
        <w:t>15cmC20</w:t>
      </w:r>
      <w:r>
        <w:rPr>
          <w:rFonts w:hint="eastAsia"/>
        </w:rPr>
        <w:t>透水水泥混凝土</w:t>
      </w:r>
    </w:p>
    <w:p w14:paraId="5738ACBF">
      <w:pPr>
        <w:ind w:firstLine="480"/>
      </w:pPr>
      <w:r>
        <w:rPr>
          <w:rFonts w:hint="eastAsia"/>
        </w:rPr>
        <w:t>1</w:t>
      </w:r>
      <w:r>
        <w:t xml:space="preserve">5cm </w:t>
      </w:r>
      <w:r>
        <w:rPr>
          <w:rFonts w:hint="eastAsia"/>
        </w:rPr>
        <w:t>未筛分碎石</w:t>
      </w:r>
    </w:p>
    <w:p w14:paraId="5C48501D">
      <w:pPr>
        <w:ind w:firstLine="480"/>
      </w:pPr>
      <w:r>
        <w:rPr>
          <w:rFonts w:hint="eastAsia"/>
        </w:rPr>
        <w:t>路面总厚度</w:t>
      </w:r>
      <w:r>
        <w:t>40</w:t>
      </w:r>
      <w:r>
        <w:rPr>
          <w:rFonts w:hint="eastAsia"/>
        </w:rPr>
        <w:t>cm。</w:t>
      </w:r>
    </w:p>
    <w:p w14:paraId="48FB624F">
      <w:pPr>
        <w:ind w:firstLine="480"/>
      </w:pPr>
      <w:bookmarkStart w:id="121" w:name="_Toc68620631"/>
      <w:bookmarkStart w:id="122" w:name="_Toc48815966"/>
      <w:r>
        <w:rPr>
          <w:rFonts w:hint="eastAsia"/>
        </w:rPr>
        <w:t>（5）路缘石设计</w:t>
      </w:r>
    </w:p>
    <w:p w14:paraId="6EF75B05">
      <w:pPr>
        <w:ind w:firstLine="480"/>
      </w:pPr>
      <w:r>
        <w:t>本项目道路</w:t>
      </w:r>
      <w:r>
        <w:rPr>
          <w:rFonts w:hint="eastAsia"/>
        </w:rPr>
        <w:t>中央分隔带、导流岛为预制仿花岗岩</w:t>
      </w:r>
      <w:r>
        <w:t>侧石</w:t>
      </w:r>
      <w:r>
        <w:rPr>
          <w:rFonts w:hint="eastAsia"/>
        </w:rPr>
        <w:t>A</w:t>
      </w:r>
      <w:r>
        <w:t>为(100×18×56cm)，外露高度40cm</w:t>
      </w:r>
      <w:r>
        <w:rPr>
          <w:rFonts w:hint="eastAsia"/>
        </w:rPr>
        <w:t>；机动车道</w:t>
      </w:r>
      <w:r>
        <w:t>外侧</w:t>
      </w:r>
      <w:r>
        <w:rPr>
          <w:rFonts w:hint="eastAsia"/>
        </w:rPr>
        <w:t>为预制仿花岗岩</w:t>
      </w:r>
      <w:r>
        <w:t>侧石</w:t>
      </w:r>
      <w:r>
        <w:rPr>
          <w:rFonts w:hint="eastAsia"/>
        </w:rPr>
        <w:t>B</w:t>
      </w:r>
      <w:r>
        <w:t>为(100×15×40cm)，外露高</w:t>
      </w:r>
      <w:r>
        <w:rPr>
          <w:rFonts w:hint="eastAsia"/>
        </w:rPr>
        <w:t>度</w:t>
      </w:r>
      <w:r>
        <w:t>15cm</w:t>
      </w:r>
      <w:r>
        <w:rPr>
          <w:rFonts w:hint="eastAsia"/>
        </w:rPr>
        <w:t>；</w:t>
      </w:r>
      <w:r>
        <w:t>人行道压条为</w:t>
      </w:r>
      <w:r>
        <w:rPr>
          <w:rFonts w:hint="eastAsia"/>
        </w:rPr>
        <w:t>预制仿花岗岩</w:t>
      </w:r>
      <w:r>
        <w:t>（100×10×10cm)</w:t>
      </w:r>
      <w:r>
        <w:rPr>
          <w:rFonts w:hint="eastAsia"/>
        </w:rPr>
        <w:t>，高度与人行道平齐</w:t>
      </w:r>
      <w:bookmarkEnd w:id="121"/>
      <w:bookmarkEnd w:id="122"/>
      <w:r>
        <w:rPr>
          <w:rFonts w:hint="eastAsia"/>
        </w:rPr>
        <w:t>；平石为预制仿花岗岩平石（</w:t>
      </w:r>
      <w:r>
        <w:t>100</w:t>
      </w:r>
      <w:r>
        <w:rPr>
          <w:rFonts w:hint="eastAsia"/>
        </w:rPr>
        <w:t>×</w:t>
      </w:r>
      <w:r>
        <w:t>25</w:t>
      </w:r>
      <w:r>
        <w:rPr>
          <w:rFonts w:hint="eastAsia"/>
        </w:rPr>
        <w:t>×1</w:t>
      </w:r>
      <w:r>
        <w:t>2cm</w:t>
      </w:r>
      <w:r>
        <w:rPr>
          <w:rFonts w:hint="eastAsia"/>
        </w:rPr>
        <w:t>），高度与沥青路面平齐。</w:t>
      </w:r>
    </w:p>
    <w:p w14:paraId="1A93F62E">
      <w:pPr>
        <w:pStyle w:val="5"/>
        <w:spacing w:before="163" w:after="163"/>
        <w:ind w:firstLine="560"/>
        <w:rPr>
          <w:bCs w:val="0"/>
        </w:rPr>
      </w:pPr>
      <w:bookmarkStart w:id="123" w:name="_Toc19978"/>
      <w:r>
        <w:rPr>
          <w:rFonts w:hint="eastAsia"/>
          <w:bCs w:val="0"/>
        </w:rPr>
        <w:t>路面验收标准</w:t>
      </w:r>
      <w:bookmarkEnd w:id="123"/>
    </w:p>
    <w:p w14:paraId="39580373">
      <w:pPr>
        <w:ind w:firstLine="480"/>
      </w:pPr>
      <w:r>
        <w:rPr>
          <w:rFonts w:hint="eastAsia"/>
        </w:rPr>
        <w:t>工程质量要求及验收标准按现行《城镇道路路面设计规范》（</w:t>
      </w:r>
      <w:r>
        <w:t>CJJ 169</w:t>
      </w:r>
      <w:r>
        <w:rPr>
          <w:rFonts w:hint="eastAsia"/>
        </w:rPr>
        <w:t>－</w:t>
      </w:r>
      <w:r>
        <w:t>2011</w:t>
      </w:r>
      <w:r>
        <w:rPr>
          <w:rFonts w:hint="eastAsia"/>
        </w:rPr>
        <w:t>）及《城镇道路工程施工及质量验收规范》（</w:t>
      </w:r>
      <w:r>
        <w:t>CJJ1-2008</w:t>
      </w:r>
      <w:r>
        <w:rPr>
          <w:rFonts w:hint="eastAsia"/>
        </w:rPr>
        <w:t>）等相关规范执行。</w:t>
      </w:r>
    </w:p>
    <w:p w14:paraId="00892A39">
      <w:pPr>
        <w:ind w:firstLine="480"/>
      </w:pPr>
      <w:r>
        <w:rPr>
          <w:rFonts w:hint="eastAsia"/>
        </w:rPr>
        <w:t>本项目永安东路路面设计弯沉值为</w:t>
      </w:r>
      <w:r>
        <w:t>23.9(0.01mm)</w:t>
      </w:r>
      <w:r>
        <w:rPr>
          <w:rFonts w:hint="eastAsia"/>
        </w:rPr>
        <w:t>，路面结构层强度以各层顶面计算弯沉控制，路基顶面验收弯沉为</w:t>
      </w:r>
      <w:r>
        <w:t>l0</w:t>
      </w:r>
      <w:r>
        <w:rPr>
          <w:rFonts w:hint="eastAsia"/>
        </w:rPr>
        <w:t>＝</w:t>
      </w:r>
      <w:r>
        <w:t>292.5</w:t>
      </w:r>
      <w:r>
        <w:rPr>
          <w:rFonts w:hint="eastAsia"/>
        </w:rPr>
        <w:t>（</w:t>
      </w:r>
      <w:r>
        <w:t>0.01mm</w:t>
      </w:r>
      <w:r>
        <w:rPr>
          <w:rFonts w:hint="eastAsia"/>
        </w:rPr>
        <w:t>），各结构层顶面的验收弯沉值及压实度必须满足下表的规定。</w:t>
      </w:r>
    </w:p>
    <w:p w14:paraId="29257F36">
      <w:pPr>
        <w:ind w:firstLine="0" w:firstLineChars="0"/>
        <w:jc w:val="center"/>
      </w:pPr>
      <w:r>
        <w:rPr>
          <w:rFonts w:hint="eastAsia"/>
        </w:rPr>
        <w:t>新建路面竣工验收弯沉值及压实度一览表（永安东路）</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61"/>
        <w:gridCol w:w="1913"/>
        <w:gridCol w:w="1922"/>
      </w:tblGrid>
      <w:tr w14:paraId="1B3A4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1" w:type="dxa"/>
            <w:vAlign w:val="center"/>
          </w:tcPr>
          <w:p w14:paraId="1E8DFE6E">
            <w:pPr>
              <w:spacing w:line="240" w:lineRule="auto"/>
              <w:ind w:firstLine="0" w:firstLineChars="0"/>
              <w:jc w:val="center"/>
            </w:pPr>
            <w:r>
              <w:rPr>
                <w:rFonts w:hint="eastAsia"/>
              </w:rPr>
              <w:t>机动车道新建路面结构</w:t>
            </w:r>
          </w:p>
        </w:tc>
        <w:tc>
          <w:tcPr>
            <w:tcW w:w="1913" w:type="dxa"/>
            <w:vAlign w:val="center"/>
          </w:tcPr>
          <w:p w14:paraId="48668FB3">
            <w:pPr>
              <w:spacing w:line="240" w:lineRule="auto"/>
              <w:ind w:firstLine="0" w:firstLineChars="0"/>
              <w:jc w:val="center"/>
            </w:pPr>
            <w:r>
              <w:rPr>
                <w:rFonts w:hint="eastAsia"/>
              </w:rPr>
              <w:t>验收弯沉值</w:t>
            </w:r>
          </w:p>
          <w:p w14:paraId="21A39E08">
            <w:pPr>
              <w:spacing w:line="240" w:lineRule="auto"/>
              <w:ind w:firstLine="0" w:firstLineChars="0"/>
              <w:jc w:val="center"/>
            </w:pPr>
            <w:r>
              <w:rPr>
                <w:rFonts w:hint="eastAsia"/>
              </w:rPr>
              <w:t>（</w:t>
            </w:r>
            <w:r>
              <w:t>1/100mm</w:t>
            </w:r>
            <w:r>
              <w:rPr>
                <w:rFonts w:hint="eastAsia"/>
              </w:rPr>
              <w:t>）</w:t>
            </w:r>
          </w:p>
        </w:tc>
        <w:tc>
          <w:tcPr>
            <w:tcW w:w="1922" w:type="dxa"/>
            <w:vAlign w:val="center"/>
          </w:tcPr>
          <w:p w14:paraId="1CF26C87">
            <w:pPr>
              <w:spacing w:line="240" w:lineRule="auto"/>
              <w:ind w:firstLine="0" w:firstLineChars="0"/>
              <w:jc w:val="center"/>
            </w:pPr>
            <w:r>
              <w:rPr>
                <w:rFonts w:hint="eastAsia"/>
              </w:rPr>
              <w:t>压实度（重型）</w:t>
            </w:r>
          </w:p>
        </w:tc>
      </w:tr>
      <w:tr w14:paraId="39BEC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61" w:type="dxa"/>
            <w:vAlign w:val="center"/>
          </w:tcPr>
          <w:p w14:paraId="259452EA">
            <w:pPr>
              <w:spacing w:line="240" w:lineRule="auto"/>
              <w:ind w:firstLine="0" w:firstLineChars="0"/>
              <w:jc w:val="center"/>
            </w:pPr>
            <w:r>
              <w:t xml:space="preserve">4cm </w:t>
            </w:r>
            <w:r>
              <w:rPr>
                <w:rFonts w:hint="eastAsia"/>
              </w:rPr>
              <w:t>细粒式</w:t>
            </w:r>
            <w:r>
              <w:t xml:space="preserve">SBS </w:t>
            </w:r>
            <w:r>
              <w:rPr>
                <w:rFonts w:hint="eastAsia"/>
              </w:rPr>
              <w:t>改性沥青砼（</w:t>
            </w:r>
            <w:r>
              <w:t>AC-13C</w:t>
            </w:r>
            <w:r>
              <w:rPr>
                <w:rFonts w:hint="eastAsia"/>
              </w:rPr>
              <w:t>）</w:t>
            </w:r>
          </w:p>
        </w:tc>
        <w:tc>
          <w:tcPr>
            <w:tcW w:w="1913" w:type="dxa"/>
            <w:vAlign w:val="center"/>
          </w:tcPr>
          <w:p w14:paraId="463DB080">
            <w:pPr>
              <w:spacing w:line="240" w:lineRule="auto"/>
              <w:ind w:firstLine="0" w:firstLineChars="0"/>
              <w:jc w:val="center"/>
            </w:pPr>
            <w:r>
              <w:t>17.7</w:t>
            </w:r>
          </w:p>
        </w:tc>
        <w:tc>
          <w:tcPr>
            <w:tcW w:w="1922" w:type="dxa"/>
            <w:vAlign w:val="center"/>
          </w:tcPr>
          <w:p w14:paraId="47A90201">
            <w:pPr>
              <w:spacing w:line="240" w:lineRule="auto"/>
              <w:ind w:firstLine="0" w:firstLineChars="0"/>
              <w:jc w:val="center"/>
            </w:pPr>
            <w:r>
              <w:t>95%</w:t>
            </w:r>
          </w:p>
        </w:tc>
      </w:tr>
      <w:tr w14:paraId="28D37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61" w:type="dxa"/>
            <w:vAlign w:val="center"/>
          </w:tcPr>
          <w:p w14:paraId="663C2013">
            <w:pPr>
              <w:spacing w:line="240" w:lineRule="auto"/>
              <w:ind w:firstLine="0" w:firstLineChars="0"/>
              <w:jc w:val="center"/>
            </w:pPr>
            <w:r>
              <w:t xml:space="preserve">6cm </w:t>
            </w:r>
            <w:r>
              <w:rPr>
                <w:rFonts w:hint="eastAsia"/>
              </w:rPr>
              <w:t>中粒式普通沥青砼</w:t>
            </w:r>
            <w:r>
              <w:t>(AC-20C)</w:t>
            </w:r>
          </w:p>
        </w:tc>
        <w:tc>
          <w:tcPr>
            <w:tcW w:w="1913" w:type="dxa"/>
            <w:vAlign w:val="center"/>
          </w:tcPr>
          <w:p w14:paraId="2BA77775">
            <w:pPr>
              <w:spacing w:line="240" w:lineRule="auto"/>
              <w:ind w:firstLine="0" w:firstLineChars="0"/>
              <w:jc w:val="center"/>
            </w:pPr>
            <w:r>
              <w:t>19.1</w:t>
            </w:r>
          </w:p>
        </w:tc>
        <w:tc>
          <w:tcPr>
            <w:tcW w:w="1922" w:type="dxa"/>
            <w:vAlign w:val="center"/>
          </w:tcPr>
          <w:p w14:paraId="529E9553">
            <w:pPr>
              <w:spacing w:line="240" w:lineRule="auto"/>
              <w:ind w:firstLine="0" w:firstLineChars="0"/>
              <w:jc w:val="center"/>
            </w:pPr>
            <w:r>
              <w:t>95%</w:t>
            </w:r>
          </w:p>
        </w:tc>
      </w:tr>
      <w:tr w14:paraId="5CD24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61" w:type="dxa"/>
            <w:vAlign w:val="center"/>
          </w:tcPr>
          <w:p w14:paraId="53C1CCAA">
            <w:pPr>
              <w:spacing w:line="240" w:lineRule="auto"/>
              <w:ind w:firstLine="0" w:firstLineChars="0"/>
              <w:jc w:val="center"/>
            </w:pPr>
            <w:r>
              <w:t xml:space="preserve">8cm </w:t>
            </w:r>
            <w:r>
              <w:rPr>
                <w:rFonts w:hint="eastAsia"/>
              </w:rPr>
              <w:t>粗粒式普通沥青砼</w:t>
            </w:r>
            <w:r>
              <w:t>(AC-25C)</w:t>
            </w:r>
          </w:p>
        </w:tc>
        <w:tc>
          <w:tcPr>
            <w:tcW w:w="1913" w:type="dxa"/>
            <w:vAlign w:val="center"/>
          </w:tcPr>
          <w:p w14:paraId="4CD5889F">
            <w:pPr>
              <w:spacing w:line="240" w:lineRule="auto"/>
              <w:ind w:firstLine="0" w:firstLineChars="0"/>
              <w:jc w:val="center"/>
            </w:pPr>
            <w:r>
              <w:t>21.2</w:t>
            </w:r>
          </w:p>
        </w:tc>
        <w:tc>
          <w:tcPr>
            <w:tcW w:w="1922" w:type="dxa"/>
            <w:vAlign w:val="center"/>
          </w:tcPr>
          <w:p w14:paraId="36E7270F">
            <w:pPr>
              <w:spacing w:line="240" w:lineRule="auto"/>
              <w:ind w:firstLine="0" w:firstLineChars="0"/>
              <w:jc w:val="center"/>
            </w:pPr>
            <w:r>
              <w:t>95%</w:t>
            </w:r>
          </w:p>
        </w:tc>
      </w:tr>
      <w:tr w14:paraId="12E6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61" w:type="dxa"/>
            <w:vAlign w:val="center"/>
          </w:tcPr>
          <w:p w14:paraId="0A339551">
            <w:pPr>
              <w:spacing w:line="240" w:lineRule="auto"/>
              <w:ind w:firstLine="0" w:firstLineChars="0"/>
              <w:jc w:val="center"/>
            </w:pPr>
            <w:r>
              <w:t xml:space="preserve">34cm 5.0% </w:t>
            </w:r>
            <w:r>
              <w:rPr>
                <w:rFonts w:hint="eastAsia"/>
              </w:rPr>
              <w:t>水泥稳定级配碎石</w:t>
            </w:r>
          </w:p>
        </w:tc>
        <w:tc>
          <w:tcPr>
            <w:tcW w:w="1913" w:type="dxa"/>
            <w:vAlign w:val="center"/>
          </w:tcPr>
          <w:p w14:paraId="77F3F6D9">
            <w:pPr>
              <w:spacing w:line="240" w:lineRule="auto"/>
              <w:ind w:firstLine="0" w:firstLineChars="0"/>
              <w:jc w:val="center"/>
            </w:pPr>
            <w:r>
              <w:t>24.2</w:t>
            </w:r>
          </w:p>
        </w:tc>
        <w:tc>
          <w:tcPr>
            <w:tcW w:w="1922" w:type="dxa"/>
            <w:vAlign w:val="center"/>
          </w:tcPr>
          <w:p w14:paraId="6551EC66">
            <w:pPr>
              <w:spacing w:line="240" w:lineRule="auto"/>
              <w:ind w:firstLine="0" w:firstLineChars="0"/>
              <w:jc w:val="center"/>
            </w:pPr>
            <w:r>
              <w:t>98%</w:t>
            </w:r>
          </w:p>
        </w:tc>
      </w:tr>
      <w:tr w14:paraId="3FF2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61" w:type="dxa"/>
            <w:vAlign w:val="center"/>
          </w:tcPr>
          <w:p w14:paraId="40D62846">
            <w:pPr>
              <w:spacing w:line="240" w:lineRule="auto"/>
              <w:ind w:firstLine="0" w:firstLineChars="0"/>
              <w:jc w:val="center"/>
            </w:pPr>
            <w:r>
              <w:t xml:space="preserve">18cm 4.0% </w:t>
            </w:r>
            <w:r>
              <w:rPr>
                <w:rFonts w:hint="eastAsia"/>
              </w:rPr>
              <w:t>水泥稳定碎石</w:t>
            </w:r>
          </w:p>
        </w:tc>
        <w:tc>
          <w:tcPr>
            <w:tcW w:w="1913" w:type="dxa"/>
            <w:vAlign w:val="center"/>
          </w:tcPr>
          <w:p w14:paraId="72D3DC1E">
            <w:pPr>
              <w:spacing w:line="240" w:lineRule="auto"/>
              <w:ind w:firstLine="0" w:firstLineChars="0"/>
              <w:jc w:val="center"/>
            </w:pPr>
            <w:r>
              <w:t>100.6</w:t>
            </w:r>
          </w:p>
        </w:tc>
        <w:tc>
          <w:tcPr>
            <w:tcW w:w="1922" w:type="dxa"/>
            <w:vAlign w:val="center"/>
          </w:tcPr>
          <w:p w14:paraId="44B0712C">
            <w:pPr>
              <w:spacing w:line="240" w:lineRule="auto"/>
              <w:ind w:firstLine="0" w:firstLineChars="0"/>
              <w:jc w:val="center"/>
            </w:pPr>
            <w:r>
              <w:t>97%</w:t>
            </w:r>
          </w:p>
        </w:tc>
      </w:tr>
    </w:tbl>
    <w:p w14:paraId="226BC55B">
      <w:pPr>
        <w:pStyle w:val="5"/>
        <w:spacing w:before="163" w:after="163"/>
        <w:ind w:firstLine="560"/>
      </w:pPr>
      <w:bookmarkStart w:id="124" w:name="_Toc2144"/>
      <w:r>
        <w:rPr>
          <w:rFonts w:hint="eastAsia"/>
        </w:rPr>
        <w:t>无障碍设计</w:t>
      </w:r>
      <w:bookmarkEnd w:id="124"/>
    </w:p>
    <w:p w14:paraId="1B7EF553">
      <w:pPr>
        <w:ind w:firstLine="480"/>
      </w:pPr>
      <w:r>
        <w:rPr>
          <w:rFonts w:hint="eastAsia"/>
        </w:rPr>
        <w:t>本道路工程无障碍设施，在道路路段上铺设视力残疾者行进盲道，以引导视力残疾者利用脚底的触感行走。行进盲道在路段上连续铺设，行进盲道宽度0.30m。行进盲道转折处设提示盲道。</w:t>
      </w:r>
    </w:p>
    <w:p w14:paraId="70962CA5">
      <w:pPr>
        <w:ind w:firstLine="480"/>
      </w:pPr>
      <w:r>
        <w:rPr>
          <w:rFonts w:hint="eastAsia"/>
        </w:rPr>
        <w:t>交叉口人行道在对应人行横道线的缘石部位设置缘石坡道，坡道下口</w:t>
      </w:r>
      <w:r>
        <w:rPr>
          <w:rFonts w:hint="eastAsia"/>
          <w:lang w:val="en-US" w:eastAsia="zh-CN"/>
        </w:rPr>
        <w:t>与</w:t>
      </w:r>
      <w:r>
        <w:rPr>
          <w:rFonts w:hint="eastAsia"/>
        </w:rPr>
        <w:t>车行道的地面</w:t>
      </w:r>
      <w:r>
        <w:rPr>
          <w:rFonts w:hint="eastAsia"/>
          <w:lang w:val="en-US" w:eastAsia="zh-CN"/>
        </w:rPr>
        <w:t>齐平</w:t>
      </w:r>
      <w:r>
        <w:rPr>
          <w:rFonts w:hint="eastAsia"/>
        </w:rPr>
        <w:t>。交叉口人行横道线贯通道路两侧，经过道路与隔离带处压低高度，满足轮椅车通行。</w:t>
      </w:r>
    </w:p>
    <w:p w14:paraId="4C3B9852">
      <w:pPr>
        <w:ind w:firstLine="480"/>
      </w:pPr>
      <w:r>
        <w:rPr>
          <w:rFonts w:hint="eastAsia"/>
        </w:rPr>
        <w:t>公交车站处在人行道对应的位置设置提示盲道与轮椅坡道，方便视残者与肢残者候车、上下车。人行道上提示盲道与行进盲道连接提示盲道设置在行进盲道转折处，并在候车站牌一侧设长度</w:t>
      </w:r>
      <w:r>
        <w:t>4m</w:t>
      </w:r>
      <w:r>
        <w:rPr>
          <w:rFonts w:hint="eastAsia"/>
        </w:rPr>
        <w:t>的提示盲道，轮椅坡道坡度</w:t>
      </w:r>
      <w:r>
        <w:t>1：20</w:t>
      </w:r>
      <w:r>
        <w:rPr>
          <w:rFonts w:hint="eastAsia"/>
        </w:rPr>
        <w:t>。</w:t>
      </w:r>
    </w:p>
    <w:p w14:paraId="254F6EA9">
      <w:pPr>
        <w:ind w:firstLine="480"/>
      </w:pPr>
      <w:r>
        <w:rPr>
          <w:rFonts w:hint="eastAsia"/>
        </w:rPr>
        <w:t>无障碍指示标志</w:t>
      </w:r>
      <w:r>
        <w:t>：</w:t>
      </w:r>
      <w:r>
        <w:rPr>
          <w:rFonts w:hint="eastAsia"/>
        </w:rPr>
        <w:t>在路段上、交叉口、出入口、人行天桥等地方设置残疾人指示标志，配合盲道及缘石坡道的设计，供残疾人使用。</w:t>
      </w:r>
    </w:p>
    <w:p w14:paraId="7B11C041">
      <w:pPr>
        <w:pStyle w:val="5"/>
        <w:spacing w:before="163" w:after="163"/>
        <w:ind w:firstLine="560"/>
      </w:pPr>
      <w:bookmarkStart w:id="125" w:name="_Toc17073"/>
      <w:r>
        <w:rPr>
          <w:rFonts w:hint="eastAsia"/>
        </w:rPr>
        <w:t>人行系统及过街设计</w:t>
      </w:r>
      <w:bookmarkEnd w:id="125"/>
    </w:p>
    <w:p w14:paraId="7CFAED99">
      <w:pPr>
        <w:ind w:firstLine="480"/>
      </w:pPr>
      <w:r>
        <w:rPr>
          <w:rFonts w:hint="eastAsia"/>
        </w:rPr>
        <w:t>本项目人行道一般路段均设置人行专用道，永安东路人行道宽度为</w:t>
      </w:r>
      <w:r>
        <w:rPr>
          <w:rFonts w:hint="eastAsia"/>
          <w:lang w:val="en-US" w:eastAsia="zh-CN"/>
        </w:rPr>
        <w:t>3.</w:t>
      </w:r>
      <w:r>
        <w:t>4m</w:t>
      </w:r>
      <w:r>
        <w:rPr>
          <w:rFonts w:hint="eastAsia"/>
        </w:rPr>
        <w:t>，人行道铺砖采用环保透水砖。人行道均连续设置，为方便人行过街，根据现状交通出入需求综合设置人行道过街。</w:t>
      </w:r>
    </w:p>
    <w:p w14:paraId="7355204F">
      <w:pPr>
        <w:pStyle w:val="5"/>
        <w:spacing w:before="163" w:after="163"/>
        <w:ind w:firstLine="560"/>
      </w:pPr>
      <w:bookmarkStart w:id="126" w:name="_Toc28911"/>
      <w:r>
        <w:rPr>
          <w:rFonts w:hint="eastAsia"/>
        </w:rPr>
        <w:t>海绵城市设计</w:t>
      </w:r>
      <w:bookmarkEnd w:id="126"/>
    </w:p>
    <w:p w14:paraId="4C5215CF">
      <w:pPr>
        <w:ind w:firstLine="480"/>
        <w:jc w:val="left"/>
      </w:pPr>
      <w:r>
        <w:rPr>
          <w:rFonts w:hint="eastAsia"/>
        </w:rPr>
        <w:t>详见海绵城市设计专篇。</w:t>
      </w:r>
    </w:p>
    <w:p w14:paraId="0EA0CA81">
      <w:pPr>
        <w:pStyle w:val="5"/>
        <w:spacing w:before="163" w:after="163"/>
        <w:ind w:firstLine="560"/>
      </w:pPr>
      <w:bookmarkStart w:id="127" w:name="_Toc17167"/>
      <w:r>
        <w:rPr>
          <w:rFonts w:hint="eastAsia"/>
        </w:rPr>
        <w:t>路面材料要求</w:t>
      </w:r>
      <w:bookmarkEnd w:id="127"/>
    </w:p>
    <w:p w14:paraId="59E9DC11">
      <w:pPr>
        <w:ind w:firstLine="480"/>
        <w:rPr>
          <w:rFonts w:ascii="宋体" w:hAnsi="宋体" w:cs="宋体"/>
          <w:szCs w:val="24"/>
        </w:rPr>
      </w:pPr>
      <w:r>
        <w:rPr>
          <w:rFonts w:hint="eastAsia" w:ascii="宋体" w:hAnsi="宋体" w:cs="宋体"/>
          <w:szCs w:val="24"/>
        </w:rPr>
        <w:t>（1）基质沥青</w:t>
      </w:r>
    </w:p>
    <w:p w14:paraId="7BAC675E">
      <w:pPr>
        <w:pStyle w:val="180"/>
        <w:ind w:firstLine="560"/>
        <w:rPr>
          <w:rFonts w:eastAsia="宋体"/>
          <w:sz w:val="22"/>
          <w:szCs w:val="24"/>
          <w:lang w:val="sq-AL"/>
        </w:rPr>
      </w:pPr>
      <w:r>
        <w:rPr>
          <w:rFonts w:hint="eastAsia" w:eastAsia="宋体"/>
          <w:color w:val="000000"/>
          <w:szCs w:val="24"/>
        </w:rPr>
        <w:t>基质沥青采用70号A级石油沥青。沥青的性能和指标满足《公路沥青路面施工技术规范》(JTG F40--2004)的规定。各项指标要求如下：</w:t>
      </w:r>
    </w:p>
    <w:p w14:paraId="20067045">
      <w:pPr>
        <w:autoSpaceDE w:val="0"/>
        <w:autoSpaceDN w:val="0"/>
        <w:adjustRightInd w:val="0"/>
        <w:ind w:firstLine="442"/>
        <w:jc w:val="center"/>
        <w:rPr>
          <w:rFonts w:ascii="宋体" w:hAnsi="宋体"/>
          <w:b/>
          <w:sz w:val="22"/>
          <w:szCs w:val="21"/>
        </w:rPr>
      </w:pPr>
      <w:r>
        <w:rPr>
          <w:rFonts w:hint="eastAsia" w:ascii="宋体" w:hAnsi="宋体"/>
          <w:b/>
          <w:color w:val="000000"/>
          <w:kern w:val="0"/>
          <w:sz w:val="22"/>
          <w:szCs w:val="21"/>
          <w:lang w:val="zh-CN"/>
        </w:rPr>
        <w:t>道路石油沥青技术要求</w:t>
      </w:r>
    </w:p>
    <w:tbl>
      <w:tblPr>
        <w:tblStyle w:val="88"/>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
        <w:gridCol w:w="3420"/>
        <w:gridCol w:w="2190"/>
        <w:gridCol w:w="2100"/>
      </w:tblGrid>
      <w:tr w14:paraId="47FB9F3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blHeader/>
          <w:jc w:val="center"/>
        </w:trPr>
        <w:tc>
          <w:tcPr>
            <w:tcW w:w="4395" w:type="dxa"/>
            <w:gridSpan w:val="2"/>
            <w:vAlign w:val="center"/>
          </w:tcPr>
          <w:p w14:paraId="320DC8EE">
            <w:pPr>
              <w:ind w:firstLine="0" w:firstLineChars="0"/>
              <w:jc w:val="center"/>
              <w:rPr>
                <w:rFonts w:ascii="宋体" w:hAnsi="宋体"/>
                <w:sz w:val="21"/>
                <w:szCs w:val="21"/>
              </w:rPr>
            </w:pPr>
            <w:r>
              <w:rPr>
                <w:rFonts w:hint="eastAsia" w:ascii="宋体" w:hAnsi="宋体"/>
                <w:sz w:val="21"/>
                <w:szCs w:val="21"/>
              </w:rPr>
              <w:t>指标</w:t>
            </w:r>
          </w:p>
        </w:tc>
        <w:tc>
          <w:tcPr>
            <w:tcW w:w="2190" w:type="dxa"/>
            <w:vAlign w:val="center"/>
          </w:tcPr>
          <w:p w14:paraId="55E21F56">
            <w:pPr>
              <w:ind w:firstLine="0" w:firstLineChars="0"/>
              <w:jc w:val="center"/>
              <w:rPr>
                <w:rFonts w:ascii="宋体" w:hAnsi="宋体"/>
                <w:sz w:val="21"/>
                <w:szCs w:val="21"/>
              </w:rPr>
            </w:pPr>
            <w:r>
              <w:rPr>
                <w:rFonts w:hint="eastAsia" w:ascii="宋体" w:hAnsi="宋体"/>
                <w:sz w:val="21"/>
                <w:szCs w:val="21"/>
              </w:rPr>
              <w:t>70号</w:t>
            </w:r>
          </w:p>
        </w:tc>
        <w:tc>
          <w:tcPr>
            <w:tcW w:w="2100" w:type="dxa"/>
            <w:vAlign w:val="center"/>
          </w:tcPr>
          <w:p w14:paraId="5ED90E04">
            <w:pPr>
              <w:ind w:firstLine="0" w:firstLineChars="0"/>
              <w:jc w:val="center"/>
              <w:rPr>
                <w:rFonts w:ascii="宋体" w:hAnsi="宋体"/>
                <w:sz w:val="21"/>
                <w:szCs w:val="21"/>
              </w:rPr>
            </w:pPr>
            <w:r>
              <w:rPr>
                <w:rFonts w:hint="eastAsia" w:ascii="宋体" w:hAnsi="宋体"/>
                <w:sz w:val="21"/>
                <w:szCs w:val="21"/>
              </w:rPr>
              <w:t>试验方法</w:t>
            </w:r>
          </w:p>
        </w:tc>
      </w:tr>
      <w:tr w14:paraId="05E3110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1B190E07">
            <w:pPr>
              <w:ind w:firstLine="0" w:firstLineChars="0"/>
              <w:jc w:val="center"/>
              <w:rPr>
                <w:rFonts w:ascii="宋体" w:hAnsi="宋体"/>
                <w:sz w:val="21"/>
                <w:szCs w:val="21"/>
              </w:rPr>
            </w:pPr>
            <w:r>
              <w:rPr>
                <w:rFonts w:hint="eastAsia" w:ascii="宋体" w:hAnsi="宋体"/>
                <w:sz w:val="21"/>
                <w:szCs w:val="21"/>
              </w:rPr>
              <w:t>针入度（25℃，5s，100g） 0.1mm</w:t>
            </w:r>
          </w:p>
        </w:tc>
        <w:tc>
          <w:tcPr>
            <w:tcW w:w="2190" w:type="dxa"/>
            <w:vAlign w:val="center"/>
          </w:tcPr>
          <w:p w14:paraId="2B3BE9BA">
            <w:pPr>
              <w:ind w:firstLine="0" w:firstLineChars="0"/>
              <w:jc w:val="center"/>
              <w:rPr>
                <w:rFonts w:ascii="宋体" w:hAnsi="宋体"/>
                <w:sz w:val="21"/>
                <w:szCs w:val="21"/>
              </w:rPr>
            </w:pPr>
            <w:r>
              <w:rPr>
                <w:rFonts w:hint="eastAsia" w:ascii="宋体" w:hAnsi="宋体"/>
                <w:sz w:val="21"/>
                <w:szCs w:val="21"/>
              </w:rPr>
              <w:t>60～80</w:t>
            </w:r>
          </w:p>
        </w:tc>
        <w:tc>
          <w:tcPr>
            <w:tcW w:w="2100" w:type="dxa"/>
            <w:vAlign w:val="center"/>
          </w:tcPr>
          <w:p w14:paraId="34824D7A">
            <w:pPr>
              <w:ind w:firstLine="0" w:firstLineChars="0"/>
              <w:jc w:val="center"/>
              <w:rPr>
                <w:rFonts w:ascii="宋体" w:hAnsi="宋体"/>
                <w:sz w:val="21"/>
                <w:szCs w:val="21"/>
              </w:rPr>
            </w:pPr>
            <w:r>
              <w:rPr>
                <w:rFonts w:hint="eastAsia" w:ascii="宋体" w:hAnsi="宋体"/>
                <w:sz w:val="21"/>
                <w:szCs w:val="21"/>
              </w:rPr>
              <w:t>T 0604</w:t>
            </w:r>
          </w:p>
        </w:tc>
      </w:tr>
      <w:tr w14:paraId="217F271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7311B706">
            <w:pPr>
              <w:ind w:firstLine="0" w:firstLineChars="0"/>
              <w:jc w:val="center"/>
              <w:rPr>
                <w:rFonts w:ascii="宋体" w:hAnsi="宋体"/>
                <w:sz w:val="21"/>
                <w:szCs w:val="21"/>
              </w:rPr>
            </w:pPr>
            <w:r>
              <w:rPr>
                <w:rFonts w:hint="eastAsia" w:ascii="宋体" w:hAnsi="宋体"/>
                <w:sz w:val="21"/>
                <w:szCs w:val="21"/>
              </w:rPr>
              <w:t>针入度指数PI</w:t>
            </w:r>
          </w:p>
        </w:tc>
        <w:tc>
          <w:tcPr>
            <w:tcW w:w="2190" w:type="dxa"/>
            <w:vAlign w:val="center"/>
          </w:tcPr>
          <w:p w14:paraId="09A74DD4">
            <w:pPr>
              <w:ind w:firstLine="0" w:firstLineChars="0"/>
              <w:jc w:val="center"/>
              <w:rPr>
                <w:rFonts w:ascii="宋体" w:hAnsi="宋体"/>
                <w:sz w:val="21"/>
                <w:szCs w:val="21"/>
              </w:rPr>
            </w:pPr>
            <w:r>
              <w:rPr>
                <w:rFonts w:hint="eastAsia" w:ascii="宋体" w:hAnsi="宋体"/>
                <w:sz w:val="21"/>
                <w:szCs w:val="21"/>
              </w:rPr>
              <w:t>-1.5～+1.0</w:t>
            </w:r>
          </w:p>
        </w:tc>
        <w:tc>
          <w:tcPr>
            <w:tcW w:w="2100" w:type="dxa"/>
            <w:vAlign w:val="center"/>
          </w:tcPr>
          <w:p w14:paraId="7261802D">
            <w:pPr>
              <w:ind w:firstLine="0" w:firstLineChars="0"/>
              <w:jc w:val="center"/>
              <w:rPr>
                <w:rFonts w:ascii="宋体" w:hAnsi="宋体"/>
                <w:sz w:val="21"/>
                <w:szCs w:val="21"/>
              </w:rPr>
            </w:pPr>
            <w:r>
              <w:rPr>
                <w:rFonts w:hint="eastAsia" w:ascii="宋体" w:hAnsi="宋体"/>
                <w:sz w:val="21"/>
                <w:szCs w:val="21"/>
              </w:rPr>
              <w:t>T 0604</w:t>
            </w:r>
          </w:p>
        </w:tc>
      </w:tr>
      <w:tr w14:paraId="677268B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260BC186">
            <w:pPr>
              <w:ind w:firstLine="0" w:firstLineChars="0"/>
              <w:jc w:val="center"/>
              <w:rPr>
                <w:rFonts w:ascii="宋体" w:hAnsi="宋体"/>
                <w:sz w:val="21"/>
                <w:szCs w:val="21"/>
              </w:rPr>
            </w:pPr>
            <w:r>
              <w:rPr>
                <w:rFonts w:hint="eastAsia" w:ascii="宋体" w:hAnsi="宋体"/>
                <w:sz w:val="21"/>
                <w:szCs w:val="21"/>
              </w:rPr>
              <w:t>软化点（R&amp;B） ℃ 不小于</w:t>
            </w:r>
          </w:p>
        </w:tc>
        <w:tc>
          <w:tcPr>
            <w:tcW w:w="2190" w:type="dxa"/>
            <w:vAlign w:val="center"/>
          </w:tcPr>
          <w:p w14:paraId="2C0C0A8C">
            <w:pPr>
              <w:ind w:firstLine="0" w:firstLineChars="0"/>
              <w:jc w:val="center"/>
              <w:rPr>
                <w:rFonts w:ascii="宋体" w:hAnsi="宋体"/>
                <w:sz w:val="21"/>
                <w:szCs w:val="21"/>
              </w:rPr>
            </w:pPr>
            <w:r>
              <w:rPr>
                <w:rFonts w:hint="eastAsia" w:ascii="宋体" w:hAnsi="宋体"/>
                <w:sz w:val="21"/>
                <w:szCs w:val="21"/>
              </w:rPr>
              <w:t>46</w:t>
            </w:r>
          </w:p>
        </w:tc>
        <w:tc>
          <w:tcPr>
            <w:tcW w:w="2100" w:type="dxa"/>
            <w:vAlign w:val="center"/>
          </w:tcPr>
          <w:p w14:paraId="64FD60AB">
            <w:pPr>
              <w:ind w:firstLine="0" w:firstLineChars="0"/>
              <w:jc w:val="center"/>
              <w:rPr>
                <w:rFonts w:ascii="宋体" w:hAnsi="宋体"/>
                <w:sz w:val="21"/>
                <w:szCs w:val="21"/>
              </w:rPr>
            </w:pPr>
            <w:r>
              <w:rPr>
                <w:rFonts w:hint="eastAsia" w:ascii="宋体" w:hAnsi="宋体"/>
                <w:sz w:val="21"/>
                <w:szCs w:val="21"/>
              </w:rPr>
              <w:t>T 0606</w:t>
            </w:r>
          </w:p>
        </w:tc>
      </w:tr>
      <w:tr w14:paraId="7A67763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2B284A90">
            <w:pPr>
              <w:ind w:firstLine="0" w:firstLineChars="0"/>
              <w:jc w:val="center"/>
              <w:rPr>
                <w:rFonts w:ascii="宋体" w:hAnsi="宋体"/>
                <w:sz w:val="21"/>
                <w:szCs w:val="21"/>
              </w:rPr>
            </w:pPr>
            <w:r>
              <w:rPr>
                <w:rFonts w:hint="eastAsia" w:ascii="宋体" w:hAnsi="宋体"/>
                <w:sz w:val="21"/>
                <w:szCs w:val="21"/>
              </w:rPr>
              <w:t>60℃动力粘度 Pa.s 不小于</w:t>
            </w:r>
          </w:p>
        </w:tc>
        <w:tc>
          <w:tcPr>
            <w:tcW w:w="2190" w:type="dxa"/>
            <w:vAlign w:val="center"/>
          </w:tcPr>
          <w:p w14:paraId="43C1497C">
            <w:pPr>
              <w:ind w:firstLine="0" w:firstLineChars="0"/>
              <w:jc w:val="center"/>
              <w:rPr>
                <w:rFonts w:ascii="宋体" w:hAnsi="宋体"/>
                <w:sz w:val="21"/>
                <w:szCs w:val="21"/>
              </w:rPr>
            </w:pPr>
            <w:r>
              <w:rPr>
                <w:rFonts w:hint="eastAsia" w:ascii="宋体" w:hAnsi="宋体"/>
                <w:sz w:val="21"/>
                <w:szCs w:val="21"/>
              </w:rPr>
              <w:t>180</w:t>
            </w:r>
          </w:p>
        </w:tc>
        <w:tc>
          <w:tcPr>
            <w:tcW w:w="2100" w:type="dxa"/>
            <w:vAlign w:val="center"/>
          </w:tcPr>
          <w:p w14:paraId="692CE559">
            <w:pPr>
              <w:ind w:firstLine="0" w:firstLineChars="0"/>
              <w:jc w:val="center"/>
              <w:rPr>
                <w:rFonts w:ascii="宋体" w:hAnsi="宋体"/>
                <w:sz w:val="21"/>
                <w:szCs w:val="21"/>
              </w:rPr>
            </w:pPr>
            <w:r>
              <w:rPr>
                <w:rFonts w:hint="eastAsia" w:ascii="宋体" w:hAnsi="宋体"/>
                <w:sz w:val="21"/>
                <w:szCs w:val="21"/>
              </w:rPr>
              <w:t>T 0620</w:t>
            </w:r>
          </w:p>
        </w:tc>
      </w:tr>
      <w:tr w14:paraId="3729081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6E2F6250">
            <w:pPr>
              <w:ind w:firstLine="0" w:firstLineChars="0"/>
              <w:jc w:val="center"/>
              <w:rPr>
                <w:rFonts w:ascii="宋体" w:hAnsi="宋体"/>
                <w:sz w:val="21"/>
                <w:szCs w:val="21"/>
              </w:rPr>
            </w:pPr>
            <w:r>
              <w:rPr>
                <w:rFonts w:hint="eastAsia" w:ascii="宋体" w:hAnsi="宋体"/>
                <w:sz w:val="21"/>
                <w:szCs w:val="21"/>
              </w:rPr>
              <w:t>10℃延度 cm 不小于</w:t>
            </w:r>
          </w:p>
        </w:tc>
        <w:tc>
          <w:tcPr>
            <w:tcW w:w="2190" w:type="dxa"/>
            <w:vAlign w:val="center"/>
          </w:tcPr>
          <w:p w14:paraId="2ADB8FC6">
            <w:pPr>
              <w:ind w:firstLine="0" w:firstLineChars="0"/>
              <w:jc w:val="center"/>
              <w:rPr>
                <w:rFonts w:ascii="宋体" w:hAnsi="宋体"/>
                <w:sz w:val="21"/>
                <w:szCs w:val="21"/>
              </w:rPr>
            </w:pPr>
            <w:r>
              <w:rPr>
                <w:rFonts w:hint="eastAsia" w:ascii="宋体" w:hAnsi="宋体"/>
                <w:sz w:val="21"/>
                <w:szCs w:val="21"/>
              </w:rPr>
              <w:t>15</w:t>
            </w:r>
          </w:p>
        </w:tc>
        <w:tc>
          <w:tcPr>
            <w:tcW w:w="2100" w:type="dxa"/>
            <w:vAlign w:val="center"/>
          </w:tcPr>
          <w:p w14:paraId="44276A62">
            <w:pPr>
              <w:ind w:firstLine="0" w:firstLineChars="0"/>
              <w:jc w:val="center"/>
              <w:rPr>
                <w:rFonts w:ascii="宋体" w:hAnsi="宋体"/>
                <w:sz w:val="21"/>
                <w:szCs w:val="21"/>
              </w:rPr>
            </w:pPr>
            <w:r>
              <w:rPr>
                <w:rFonts w:hint="eastAsia" w:ascii="宋体" w:hAnsi="宋体"/>
                <w:sz w:val="21"/>
                <w:szCs w:val="21"/>
              </w:rPr>
              <w:t>T 0605</w:t>
            </w:r>
          </w:p>
        </w:tc>
      </w:tr>
      <w:tr w14:paraId="40CB415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3C27658B">
            <w:pPr>
              <w:ind w:firstLine="0" w:firstLineChars="0"/>
              <w:jc w:val="center"/>
              <w:rPr>
                <w:rFonts w:ascii="宋体" w:hAnsi="宋体"/>
                <w:sz w:val="21"/>
                <w:szCs w:val="21"/>
              </w:rPr>
            </w:pPr>
            <w:r>
              <w:rPr>
                <w:rFonts w:hint="eastAsia" w:ascii="宋体" w:hAnsi="宋体"/>
                <w:sz w:val="21"/>
                <w:szCs w:val="21"/>
              </w:rPr>
              <w:t>15℃延度 cm 不小于</w:t>
            </w:r>
          </w:p>
        </w:tc>
        <w:tc>
          <w:tcPr>
            <w:tcW w:w="2190" w:type="dxa"/>
            <w:vAlign w:val="center"/>
          </w:tcPr>
          <w:p w14:paraId="4E6F5884">
            <w:pPr>
              <w:ind w:firstLine="0" w:firstLineChars="0"/>
              <w:jc w:val="center"/>
              <w:rPr>
                <w:rFonts w:ascii="宋体" w:hAnsi="宋体"/>
                <w:sz w:val="21"/>
                <w:szCs w:val="21"/>
              </w:rPr>
            </w:pPr>
            <w:r>
              <w:rPr>
                <w:rFonts w:hint="eastAsia" w:ascii="宋体" w:hAnsi="宋体"/>
                <w:sz w:val="21"/>
                <w:szCs w:val="21"/>
              </w:rPr>
              <w:t>100</w:t>
            </w:r>
          </w:p>
        </w:tc>
        <w:tc>
          <w:tcPr>
            <w:tcW w:w="2100" w:type="dxa"/>
            <w:vAlign w:val="center"/>
          </w:tcPr>
          <w:p w14:paraId="20A3A3AF">
            <w:pPr>
              <w:ind w:firstLine="0" w:firstLineChars="0"/>
              <w:jc w:val="center"/>
              <w:rPr>
                <w:rFonts w:ascii="宋体" w:hAnsi="宋体"/>
                <w:sz w:val="21"/>
                <w:szCs w:val="21"/>
              </w:rPr>
            </w:pPr>
            <w:r>
              <w:rPr>
                <w:rFonts w:hint="eastAsia" w:ascii="宋体" w:hAnsi="宋体"/>
                <w:sz w:val="21"/>
                <w:szCs w:val="21"/>
              </w:rPr>
              <w:t>T 0605</w:t>
            </w:r>
          </w:p>
        </w:tc>
      </w:tr>
      <w:tr w14:paraId="2176E99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5096C5D4">
            <w:pPr>
              <w:ind w:firstLine="0" w:firstLineChars="0"/>
              <w:jc w:val="center"/>
              <w:rPr>
                <w:rFonts w:ascii="宋体" w:hAnsi="宋体"/>
                <w:sz w:val="21"/>
                <w:szCs w:val="21"/>
              </w:rPr>
            </w:pPr>
            <w:r>
              <w:rPr>
                <w:rFonts w:hint="eastAsia" w:ascii="宋体" w:hAnsi="宋体"/>
                <w:sz w:val="21"/>
                <w:szCs w:val="21"/>
              </w:rPr>
              <w:t>含蜡量（蒸馏法） % 不大于</w:t>
            </w:r>
          </w:p>
        </w:tc>
        <w:tc>
          <w:tcPr>
            <w:tcW w:w="2190" w:type="dxa"/>
            <w:vAlign w:val="center"/>
          </w:tcPr>
          <w:p w14:paraId="43302F55">
            <w:pPr>
              <w:ind w:firstLine="0" w:firstLineChars="0"/>
              <w:jc w:val="center"/>
              <w:rPr>
                <w:rFonts w:ascii="宋体" w:hAnsi="宋体"/>
                <w:sz w:val="21"/>
                <w:szCs w:val="21"/>
              </w:rPr>
            </w:pPr>
            <w:r>
              <w:rPr>
                <w:rFonts w:hint="eastAsia" w:ascii="宋体" w:hAnsi="宋体"/>
                <w:sz w:val="21"/>
                <w:szCs w:val="21"/>
              </w:rPr>
              <w:t>2.2</w:t>
            </w:r>
          </w:p>
        </w:tc>
        <w:tc>
          <w:tcPr>
            <w:tcW w:w="2100" w:type="dxa"/>
            <w:vAlign w:val="center"/>
          </w:tcPr>
          <w:p w14:paraId="2A949723">
            <w:pPr>
              <w:ind w:firstLine="0" w:firstLineChars="0"/>
              <w:jc w:val="center"/>
              <w:rPr>
                <w:rFonts w:ascii="宋体" w:hAnsi="宋体"/>
                <w:sz w:val="21"/>
                <w:szCs w:val="21"/>
              </w:rPr>
            </w:pPr>
            <w:r>
              <w:rPr>
                <w:rFonts w:hint="eastAsia" w:ascii="宋体" w:hAnsi="宋体"/>
                <w:sz w:val="21"/>
                <w:szCs w:val="21"/>
              </w:rPr>
              <w:t>T 0615</w:t>
            </w:r>
          </w:p>
        </w:tc>
      </w:tr>
      <w:tr w14:paraId="659F638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69EC1175">
            <w:pPr>
              <w:ind w:firstLine="0" w:firstLineChars="0"/>
              <w:jc w:val="center"/>
              <w:rPr>
                <w:rFonts w:ascii="宋体" w:hAnsi="宋体"/>
                <w:sz w:val="21"/>
                <w:szCs w:val="21"/>
              </w:rPr>
            </w:pPr>
            <w:r>
              <w:rPr>
                <w:rFonts w:hint="eastAsia" w:ascii="宋体" w:hAnsi="宋体"/>
                <w:sz w:val="21"/>
                <w:szCs w:val="21"/>
              </w:rPr>
              <w:t>闪点 ℃ 不小于</w:t>
            </w:r>
          </w:p>
        </w:tc>
        <w:tc>
          <w:tcPr>
            <w:tcW w:w="2190" w:type="dxa"/>
            <w:vAlign w:val="center"/>
          </w:tcPr>
          <w:p w14:paraId="206699E9">
            <w:pPr>
              <w:ind w:firstLine="0" w:firstLineChars="0"/>
              <w:jc w:val="center"/>
              <w:rPr>
                <w:rFonts w:ascii="宋体" w:hAnsi="宋体"/>
                <w:sz w:val="21"/>
                <w:szCs w:val="21"/>
              </w:rPr>
            </w:pPr>
            <w:r>
              <w:rPr>
                <w:rFonts w:hint="eastAsia" w:ascii="宋体" w:hAnsi="宋体"/>
                <w:sz w:val="21"/>
                <w:szCs w:val="21"/>
              </w:rPr>
              <w:t>260</w:t>
            </w:r>
          </w:p>
        </w:tc>
        <w:tc>
          <w:tcPr>
            <w:tcW w:w="2100" w:type="dxa"/>
            <w:vAlign w:val="center"/>
          </w:tcPr>
          <w:p w14:paraId="1B2B4269">
            <w:pPr>
              <w:ind w:firstLine="0" w:firstLineChars="0"/>
              <w:jc w:val="center"/>
              <w:rPr>
                <w:rFonts w:ascii="宋体" w:hAnsi="宋体"/>
                <w:sz w:val="21"/>
                <w:szCs w:val="21"/>
              </w:rPr>
            </w:pPr>
            <w:r>
              <w:rPr>
                <w:rFonts w:hint="eastAsia" w:ascii="宋体" w:hAnsi="宋体"/>
                <w:sz w:val="21"/>
                <w:szCs w:val="21"/>
              </w:rPr>
              <w:t>T 0611</w:t>
            </w:r>
          </w:p>
        </w:tc>
      </w:tr>
      <w:tr w14:paraId="0D745D9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2EBAF4E9">
            <w:pPr>
              <w:ind w:firstLine="0" w:firstLineChars="0"/>
              <w:jc w:val="center"/>
              <w:rPr>
                <w:rFonts w:ascii="宋体" w:hAnsi="宋体"/>
                <w:sz w:val="21"/>
                <w:szCs w:val="21"/>
              </w:rPr>
            </w:pPr>
            <w:r>
              <w:rPr>
                <w:rFonts w:hint="eastAsia" w:ascii="宋体" w:hAnsi="宋体"/>
                <w:sz w:val="21"/>
                <w:szCs w:val="21"/>
              </w:rPr>
              <w:t>溶解度 % 不小于</w:t>
            </w:r>
          </w:p>
        </w:tc>
        <w:tc>
          <w:tcPr>
            <w:tcW w:w="2190" w:type="dxa"/>
            <w:vAlign w:val="center"/>
          </w:tcPr>
          <w:p w14:paraId="55525C92">
            <w:pPr>
              <w:ind w:firstLine="0" w:firstLineChars="0"/>
              <w:jc w:val="center"/>
              <w:rPr>
                <w:rFonts w:ascii="宋体" w:hAnsi="宋体"/>
                <w:sz w:val="21"/>
                <w:szCs w:val="21"/>
              </w:rPr>
            </w:pPr>
            <w:r>
              <w:rPr>
                <w:rFonts w:hint="eastAsia" w:ascii="宋体" w:hAnsi="宋体"/>
                <w:sz w:val="21"/>
                <w:szCs w:val="21"/>
              </w:rPr>
              <w:t>99.5</w:t>
            </w:r>
          </w:p>
        </w:tc>
        <w:tc>
          <w:tcPr>
            <w:tcW w:w="2100" w:type="dxa"/>
            <w:vAlign w:val="center"/>
          </w:tcPr>
          <w:p w14:paraId="53B62348">
            <w:pPr>
              <w:ind w:firstLine="0" w:firstLineChars="0"/>
              <w:jc w:val="center"/>
              <w:rPr>
                <w:rFonts w:ascii="宋体" w:hAnsi="宋体"/>
                <w:sz w:val="21"/>
                <w:szCs w:val="21"/>
              </w:rPr>
            </w:pPr>
            <w:r>
              <w:rPr>
                <w:rFonts w:hint="eastAsia" w:ascii="宋体" w:hAnsi="宋体"/>
                <w:sz w:val="21"/>
                <w:szCs w:val="21"/>
              </w:rPr>
              <w:t>T 0607</w:t>
            </w:r>
          </w:p>
        </w:tc>
      </w:tr>
      <w:tr w14:paraId="1C4CA3C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395" w:type="dxa"/>
            <w:gridSpan w:val="2"/>
            <w:vAlign w:val="center"/>
          </w:tcPr>
          <w:p w14:paraId="443855C8">
            <w:pPr>
              <w:ind w:firstLine="0" w:firstLineChars="0"/>
              <w:jc w:val="center"/>
              <w:rPr>
                <w:rFonts w:ascii="宋体" w:hAnsi="宋体"/>
                <w:sz w:val="21"/>
                <w:szCs w:val="21"/>
              </w:rPr>
            </w:pPr>
            <w:r>
              <w:rPr>
                <w:rFonts w:hint="eastAsia" w:ascii="宋体" w:hAnsi="宋体"/>
                <w:sz w:val="21"/>
                <w:szCs w:val="21"/>
              </w:rPr>
              <w:t>密度（15℃） g/cm3</w:t>
            </w:r>
          </w:p>
        </w:tc>
        <w:tc>
          <w:tcPr>
            <w:tcW w:w="2190" w:type="dxa"/>
            <w:vAlign w:val="center"/>
          </w:tcPr>
          <w:p w14:paraId="403FBC43">
            <w:pPr>
              <w:ind w:firstLine="0" w:firstLineChars="0"/>
              <w:jc w:val="center"/>
              <w:rPr>
                <w:rFonts w:ascii="宋体" w:hAnsi="宋体"/>
                <w:sz w:val="21"/>
                <w:szCs w:val="21"/>
              </w:rPr>
            </w:pPr>
            <w:r>
              <w:rPr>
                <w:rFonts w:hint="eastAsia" w:ascii="宋体" w:hAnsi="宋体"/>
                <w:sz w:val="21"/>
                <w:szCs w:val="21"/>
              </w:rPr>
              <w:t>实测记录</w:t>
            </w:r>
          </w:p>
        </w:tc>
        <w:tc>
          <w:tcPr>
            <w:tcW w:w="2100" w:type="dxa"/>
            <w:vAlign w:val="center"/>
          </w:tcPr>
          <w:p w14:paraId="682631AD">
            <w:pPr>
              <w:ind w:firstLine="0" w:firstLineChars="0"/>
              <w:jc w:val="center"/>
              <w:rPr>
                <w:rFonts w:ascii="宋体" w:hAnsi="宋体"/>
                <w:sz w:val="21"/>
                <w:szCs w:val="21"/>
              </w:rPr>
            </w:pPr>
            <w:r>
              <w:rPr>
                <w:rFonts w:hint="eastAsia" w:ascii="宋体" w:hAnsi="宋体"/>
                <w:sz w:val="21"/>
                <w:szCs w:val="21"/>
              </w:rPr>
              <w:t>T 0603</w:t>
            </w:r>
          </w:p>
        </w:tc>
      </w:tr>
      <w:tr w14:paraId="002F956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75" w:type="dxa"/>
            <w:vMerge w:val="restart"/>
            <w:vAlign w:val="center"/>
          </w:tcPr>
          <w:p w14:paraId="43349CCE">
            <w:pPr>
              <w:ind w:firstLine="0" w:firstLineChars="0"/>
              <w:jc w:val="center"/>
              <w:rPr>
                <w:rFonts w:ascii="宋体" w:hAnsi="宋体"/>
                <w:sz w:val="21"/>
                <w:szCs w:val="21"/>
              </w:rPr>
            </w:pPr>
            <w:r>
              <w:rPr>
                <w:rFonts w:hint="eastAsia" w:ascii="宋体" w:hAnsi="宋体"/>
                <w:sz w:val="21"/>
                <w:szCs w:val="21"/>
              </w:rPr>
              <w:t>TFOT（或</w:t>
            </w:r>
          </w:p>
          <w:p w14:paraId="5470608E">
            <w:pPr>
              <w:ind w:firstLine="0" w:firstLineChars="0"/>
              <w:jc w:val="center"/>
              <w:rPr>
                <w:rFonts w:ascii="宋体" w:hAnsi="宋体"/>
                <w:sz w:val="21"/>
                <w:szCs w:val="21"/>
              </w:rPr>
            </w:pPr>
            <w:r>
              <w:rPr>
                <w:rFonts w:hint="eastAsia" w:ascii="宋体" w:hAnsi="宋体"/>
                <w:sz w:val="21"/>
                <w:szCs w:val="21"/>
              </w:rPr>
              <w:t>RTFOT）后</w:t>
            </w:r>
          </w:p>
        </w:tc>
        <w:tc>
          <w:tcPr>
            <w:tcW w:w="3420" w:type="dxa"/>
            <w:vAlign w:val="center"/>
          </w:tcPr>
          <w:p w14:paraId="7634F9A1">
            <w:pPr>
              <w:ind w:firstLine="0" w:firstLineChars="0"/>
              <w:jc w:val="center"/>
              <w:rPr>
                <w:rFonts w:ascii="宋体" w:hAnsi="宋体"/>
                <w:sz w:val="21"/>
                <w:szCs w:val="21"/>
              </w:rPr>
            </w:pPr>
            <w:r>
              <w:rPr>
                <w:rFonts w:hint="eastAsia" w:ascii="宋体" w:hAnsi="宋体"/>
                <w:sz w:val="21"/>
                <w:szCs w:val="21"/>
              </w:rPr>
              <w:t>质量变化 % 不大于</w:t>
            </w:r>
          </w:p>
        </w:tc>
        <w:tc>
          <w:tcPr>
            <w:tcW w:w="2190" w:type="dxa"/>
            <w:vAlign w:val="center"/>
          </w:tcPr>
          <w:p w14:paraId="695991B8">
            <w:pPr>
              <w:ind w:firstLine="0" w:firstLineChars="0"/>
              <w:jc w:val="center"/>
              <w:rPr>
                <w:rFonts w:ascii="宋体" w:hAnsi="宋体"/>
                <w:sz w:val="21"/>
                <w:szCs w:val="21"/>
              </w:rPr>
            </w:pPr>
            <w:r>
              <w:rPr>
                <w:rFonts w:hint="eastAsia" w:ascii="宋体" w:hAnsi="宋体"/>
                <w:sz w:val="21"/>
                <w:szCs w:val="21"/>
              </w:rPr>
              <w:t>±0.8</w:t>
            </w:r>
          </w:p>
        </w:tc>
        <w:tc>
          <w:tcPr>
            <w:tcW w:w="2100" w:type="dxa"/>
            <w:vAlign w:val="center"/>
          </w:tcPr>
          <w:p w14:paraId="2C381FFA">
            <w:pPr>
              <w:ind w:firstLine="0" w:firstLineChars="0"/>
              <w:jc w:val="center"/>
              <w:rPr>
                <w:rFonts w:ascii="宋体" w:hAnsi="宋体"/>
                <w:sz w:val="21"/>
                <w:szCs w:val="21"/>
              </w:rPr>
            </w:pPr>
            <w:r>
              <w:rPr>
                <w:rFonts w:hint="eastAsia" w:ascii="宋体" w:hAnsi="宋体"/>
                <w:sz w:val="21"/>
                <w:szCs w:val="21"/>
              </w:rPr>
              <w:t>T 0609</w:t>
            </w:r>
          </w:p>
        </w:tc>
      </w:tr>
      <w:tr w14:paraId="75B8124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75" w:type="dxa"/>
            <w:vMerge w:val="continue"/>
            <w:vAlign w:val="center"/>
          </w:tcPr>
          <w:p w14:paraId="3C82A918">
            <w:pPr>
              <w:ind w:firstLine="0" w:firstLineChars="0"/>
              <w:jc w:val="center"/>
              <w:rPr>
                <w:rFonts w:ascii="宋体" w:hAnsi="宋体"/>
                <w:sz w:val="21"/>
                <w:szCs w:val="21"/>
              </w:rPr>
            </w:pPr>
          </w:p>
        </w:tc>
        <w:tc>
          <w:tcPr>
            <w:tcW w:w="3420" w:type="dxa"/>
            <w:vAlign w:val="center"/>
          </w:tcPr>
          <w:p w14:paraId="7B9DC50C">
            <w:pPr>
              <w:ind w:firstLine="0" w:firstLineChars="0"/>
              <w:jc w:val="center"/>
              <w:rPr>
                <w:rFonts w:ascii="宋体" w:hAnsi="宋体"/>
                <w:sz w:val="21"/>
                <w:szCs w:val="21"/>
              </w:rPr>
            </w:pPr>
            <w:r>
              <w:rPr>
                <w:rFonts w:hint="eastAsia" w:ascii="宋体" w:hAnsi="宋体"/>
                <w:sz w:val="21"/>
                <w:szCs w:val="21"/>
              </w:rPr>
              <w:t>残留针入度比 % 不小于</w:t>
            </w:r>
          </w:p>
        </w:tc>
        <w:tc>
          <w:tcPr>
            <w:tcW w:w="2190" w:type="dxa"/>
            <w:vAlign w:val="center"/>
          </w:tcPr>
          <w:p w14:paraId="6E9D68F3">
            <w:pPr>
              <w:ind w:firstLine="0" w:firstLineChars="0"/>
              <w:jc w:val="center"/>
              <w:rPr>
                <w:rFonts w:ascii="宋体" w:hAnsi="宋体"/>
                <w:sz w:val="21"/>
                <w:szCs w:val="21"/>
              </w:rPr>
            </w:pPr>
            <w:r>
              <w:rPr>
                <w:rFonts w:hint="eastAsia" w:ascii="宋体" w:hAnsi="宋体"/>
                <w:sz w:val="21"/>
                <w:szCs w:val="21"/>
              </w:rPr>
              <w:t>61</w:t>
            </w:r>
          </w:p>
        </w:tc>
        <w:tc>
          <w:tcPr>
            <w:tcW w:w="2100" w:type="dxa"/>
            <w:vAlign w:val="center"/>
          </w:tcPr>
          <w:p w14:paraId="27D01B67">
            <w:pPr>
              <w:ind w:firstLine="0" w:firstLineChars="0"/>
              <w:jc w:val="center"/>
              <w:rPr>
                <w:rFonts w:ascii="宋体" w:hAnsi="宋体"/>
                <w:sz w:val="21"/>
                <w:szCs w:val="21"/>
              </w:rPr>
            </w:pPr>
            <w:r>
              <w:rPr>
                <w:rFonts w:hint="eastAsia" w:ascii="宋体" w:hAnsi="宋体"/>
                <w:sz w:val="21"/>
                <w:szCs w:val="21"/>
              </w:rPr>
              <w:t>T 0604</w:t>
            </w:r>
          </w:p>
        </w:tc>
      </w:tr>
      <w:tr w14:paraId="301A99F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75" w:type="dxa"/>
            <w:vMerge w:val="continue"/>
            <w:vAlign w:val="center"/>
          </w:tcPr>
          <w:p w14:paraId="31A177FF">
            <w:pPr>
              <w:ind w:firstLine="0" w:firstLineChars="0"/>
              <w:jc w:val="center"/>
              <w:rPr>
                <w:rFonts w:ascii="宋体" w:hAnsi="宋体"/>
                <w:sz w:val="21"/>
                <w:szCs w:val="21"/>
              </w:rPr>
            </w:pPr>
          </w:p>
        </w:tc>
        <w:tc>
          <w:tcPr>
            <w:tcW w:w="3420" w:type="dxa"/>
            <w:vAlign w:val="center"/>
          </w:tcPr>
          <w:p w14:paraId="1A853B98">
            <w:pPr>
              <w:ind w:firstLine="0" w:firstLineChars="0"/>
              <w:jc w:val="center"/>
              <w:rPr>
                <w:rFonts w:ascii="宋体" w:hAnsi="宋体"/>
                <w:sz w:val="21"/>
                <w:szCs w:val="21"/>
              </w:rPr>
            </w:pPr>
            <w:r>
              <w:rPr>
                <w:rFonts w:hint="eastAsia" w:ascii="宋体" w:hAnsi="宋体"/>
                <w:sz w:val="21"/>
                <w:szCs w:val="21"/>
              </w:rPr>
              <w:t>残留延度（10℃） cm 不小于</w:t>
            </w:r>
          </w:p>
        </w:tc>
        <w:tc>
          <w:tcPr>
            <w:tcW w:w="2190" w:type="dxa"/>
            <w:vAlign w:val="center"/>
          </w:tcPr>
          <w:p w14:paraId="044BF46A">
            <w:pPr>
              <w:ind w:firstLine="0" w:firstLineChars="0"/>
              <w:jc w:val="center"/>
              <w:rPr>
                <w:rFonts w:ascii="宋体" w:hAnsi="宋体"/>
                <w:sz w:val="21"/>
                <w:szCs w:val="21"/>
              </w:rPr>
            </w:pPr>
            <w:r>
              <w:rPr>
                <w:rFonts w:hint="eastAsia" w:ascii="宋体" w:hAnsi="宋体"/>
                <w:sz w:val="21"/>
                <w:szCs w:val="21"/>
              </w:rPr>
              <w:t>6</w:t>
            </w:r>
          </w:p>
        </w:tc>
        <w:tc>
          <w:tcPr>
            <w:tcW w:w="2100" w:type="dxa"/>
            <w:vAlign w:val="center"/>
          </w:tcPr>
          <w:p w14:paraId="70EC30D7">
            <w:pPr>
              <w:ind w:firstLine="0" w:firstLineChars="0"/>
              <w:jc w:val="center"/>
              <w:rPr>
                <w:rFonts w:ascii="宋体" w:hAnsi="宋体"/>
                <w:sz w:val="21"/>
                <w:szCs w:val="21"/>
              </w:rPr>
            </w:pPr>
            <w:r>
              <w:rPr>
                <w:rFonts w:hint="eastAsia" w:ascii="宋体" w:hAnsi="宋体"/>
                <w:sz w:val="21"/>
                <w:szCs w:val="21"/>
              </w:rPr>
              <w:t>T 0605</w:t>
            </w:r>
          </w:p>
        </w:tc>
      </w:tr>
    </w:tbl>
    <w:p w14:paraId="0792A913">
      <w:pPr>
        <w:ind w:firstLine="480"/>
        <w:rPr>
          <w:rFonts w:ascii="宋体" w:hAnsi="宋体" w:cs="宋体"/>
          <w:szCs w:val="24"/>
        </w:rPr>
      </w:pPr>
      <w:r>
        <w:rPr>
          <w:rFonts w:hint="eastAsia" w:ascii="宋体" w:hAnsi="宋体" w:cs="宋体"/>
          <w:szCs w:val="24"/>
        </w:rPr>
        <w:t>（2）</w:t>
      </w:r>
      <w:r>
        <w:rPr>
          <w:rFonts w:ascii="宋体" w:hAnsi="宋体" w:cs="宋体"/>
          <w:szCs w:val="24"/>
        </w:rPr>
        <w:t>改</w:t>
      </w:r>
      <w:r>
        <w:rPr>
          <w:rFonts w:hint="eastAsia" w:ascii="宋体" w:hAnsi="宋体" w:cs="宋体"/>
          <w:szCs w:val="24"/>
        </w:rPr>
        <w:t>性沥青</w:t>
      </w:r>
    </w:p>
    <w:p w14:paraId="206D04C9">
      <w:pPr>
        <w:pStyle w:val="180"/>
        <w:ind w:firstLine="560"/>
        <w:rPr>
          <w:rFonts w:eastAsia="宋体"/>
          <w:color w:val="000000"/>
          <w:szCs w:val="24"/>
        </w:rPr>
      </w:pPr>
      <w:r>
        <w:rPr>
          <w:rFonts w:hint="eastAsia" w:eastAsia="宋体"/>
          <w:color w:val="000000"/>
          <w:szCs w:val="24"/>
        </w:rPr>
        <w:t>改性沥青采用成品SBS改性沥青。改性沥青的质量应符合下表的技术要求。</w:t>
      </w:r>
    </w:p>
    <w:p w14:paraId="115D666B">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聚合物改性沥青技术要求</w:t>
      </w:r>
    </w:p>
    <w:tbl>
      <w:tblPr>
        <w:tblStyle w:val="88"/>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02"/>
        <w:gridCol w:w="1484"/>
        <w:gridCol w:w="2131"/>
        <w:gridCol w:w="1640"/>
      </w:tblGrid>
      <w:tr w14:paraId="13F8D2B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jc w:val="center"/>
        </w:trPr>
        <w:tc>
          <w:tcPr>
            <w:tcW w:w="3402" w:type="dxa"/>
            <w:vAlign w:val="center"/>
          </w:tcPr>
          <w:p w14:paraId="472ED0B7">
            <w:pPr>
              <w:ind w:firstLine="0" w:firstLineChars="0"/>
              <w:jc w:val="center"/>
              <w:rPr>
                <w:rFonts w:ascii="宋体" w:hAnsi="宋体"/>
                <w:sz w:val="21"/>
                <w:szCs w:val="21"/>
              </w:rPr>
            </w:pPr>
            <w:r>
              <w:rPr>
                <w:rFonts w:hint="eastAsia" w:ascii="宋体" w:hAnsi="宋体"/>
                <w:sz w:val="21"/>
                <w:szCs w:val="21"/>
              </w:rPr>
              <w:t>指标</w:t>
            </w:r>
          </w:p>
        </w:tc>
        <w:tc>
          <w:tcPr>
            <w:tcW w:w="1484" w:type="dxa"/>
          </w:tcPr>
          <w:p w14:paraId="6A09DF02">
            <w:pPr>
              <w:ind w:firstLine="0" w:firstLineChars="0"/>
              <w:jc w:val="center"/>
              <w:rPr>
                <w:rFonts w:ascii="宋体" w:hAnsi="宋体"/>
                <w:sz w:val="21"/>
                <w:szCs w:val="21"/>
              </w:rPr>
            </w:pPr>
            <w:r>
              <w:rPr>
                <w:rFonts w:hint="eastAsia" w:ascii="宋体" w:hAnsi="宋体"/>
                <w:sz w:val="21"/>
                <w:szCs w:val="21"/>
              </w:rPr>
              <w:t>单位</w:t>
            </w:r>
          </w:p>
        </w:tc>
        <w:tc>
          <w:tcPr>
            <w:tcW w:w="2131" w:type="dxa"/>
            <w:vAlign w:val="center"/>
          </w:tcPr>
          <w:p w14:paraId="17BD4A76">
            <w:pPr>
              <w:ind w:firstLine="0" w:firstLineChars="0"/>
              <w:jc w:val="center"/>
              <w:rPr>
                <w:rFonts w:ascii="宋体" w:hAnsi="宋体"/>
                <w:sz w:val="21"/>
                <w:szCs w:val="21"/>
              </w:rPr>
            </w:pPr>
            <w:r>
              <w:rPr>
                <w:rFonts w:hint="eastAsia" w:ascii="宋体" w:hAnsi="宋体"/>
                <w:sz w:val="21"/>
                <w:szCs w:val="21"/>
              </w:rPr>
              <w:t>SBS类</w:t>
            </w:r>
          </w:p>
        </w:tc>
        <w:tc>
          <w:tcPr>
            <w:tcW w:w="1640" w:type="dxa"/>
            <w:vAlign w:val="center"/>
          </w:tcPr>
          <w:p w14:paraId="53DE5893">
            <w:pPr>
              <w:ind w:firstLine="0" w:firstLineChars="0"/>
              <w:jc w:val="center"/>
              <w:rPr>
                <w:rFonts w:ascii="宋体" w:hAnsi="宋体"/>
                <w:sz w:val="21"/>
                <w:szCs w:val="21"/>
              </w:rPr>
            </w:pPr>
            <w:r>
              <w:rPr>
                <w:rFonts w:hint="eastAsia" w:ascii="宋体" w:hAnsi="宋体"/>
                <w:sz w:val="21"/>
                <w:szCs w:val="21"/>
              </w:rPr>
              <w:t>试验方法</w:t>
            </w:r>
          </w:p>
        </w:tc>
      </w:tr>
      <w:tr w14:paraId="65A9DE8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4BB8DC72">
            <w:pPr>
              <w:ind w:firstLine="0" w:firstLineChars="0"/>
              <w:jc w:val="center"/>
              <w:rPr>
                <w:rFonts w:ascii="宋体" w:hAnsi="宋体"/>
                <w:sz w:val="21"/>
                <w:szCs w:val="21"/>
              </w:rPr>
            </w:pPr>
            <w:r>
              <w:rPr>
                <w:rFonts w:hint="eastAsia" w:ascii="宋体" w:hAnsi="宋体"/>
                <w:sz w:val="21"/>
                <w:szCs w:val="21"/>
              </w:rPr>
              <w:t xml:space="preserve">针入度（25℃，5s，100g） </w:t>
            </w:r>
          </w:p>
        </w:tc>
        <w:tc>
          <w:tcPr>
            <w:tcW w:w="1484" w:type="dxa"/>
          </w:tcPr>
          <w:p w14:paraId="0DEDE812">
            <w:pPr>
              <w:ind w:firstLine="0" w:firstLineChars="0"/>
              <w:jc w:val="center"/>
              <w:rPr>
                <w:rFonts w:ascii="宋体" w:hAnsi="宋体"/>
                <w:sz w:val="21"/>
                <w:szCs w:val="21"/>
              </w:rPr>
            </w:pPr>
            <w:r>
              <w:rPr>
                <w:rFonts w:hint="eastAsia" w:ascii="宋体" w:hAnsi="宋体"/>
                <w:sz w:val="21"/>
                <w:szCs w:val="21"/>
              </w:rPr>
              <w:t>0.01mm</w:t>
            </w:r>
          </w:p>
        </w:tc>
        <w:tc>
          <w:tcPr>
            <w:tcW w:w="2131" w:type="dxa"/>
            <w:vAlign w:val="center"/>
          </w:tcPr>
          <w:p w14:paraId="7AECA82B">
            <w:pPr>
              <w:ind w:firstLine="0" w:firstLineChars="0"/>
              <w:jc w:val="center"/>
              <w:rPr>
                <w:rFonts w:ascii="宋体" w:hAnsi="宋体"/>
                <w:sz w:val="21"/>
                <w:szCs w:val="21"/>
              </w:rPr>
            </w:pPr>
            <w:r>
              <w:rPr>
                <w:rFonts w:hint="eastAsia" w:ascii="宋体" w:hAnsi="宋体"/>
                <w:sz w:val="21"/>
                <w:szCs w:val="21"/>
              </w:rPr>
              <w:t>40～60</w:t>
            </w:r>
          </w:p>
        </w:tc>
        <w:tc>
          <w:tcPr>
            <w:tcW w:w="1640" w:type="dxa"/>
            <w:vAlign w:val="center"/>
          </w:tcPr>
          <w:p w14:paraId="63FC6B36">
            <w:pPr>
              <w:ind w:firstLine="0" w:firstLineChars="0"/>
              <w:jc w:val="center"/>
              <w:rPr>
                <w:rFonts w:ascii="宋体" w:hAnsi="宋体"/>
                <w:sz w:val="21"/>
                <w:szCs w:val="21"/>
              </w:rPr>
            </w:pPr>
            <w:r>
              <w:rPr>
                <w:rFonts w:hint="eastAsia" w:ascii="宋体" w:hAnsi="宋体"/>
                <w:sz w:val="21"/>
                <w:szCs w:val="21"/>
              </w:rPr>
              <w:t>T 0604</w:t>
            </w:r>
          </w:p>
        </w:tc>
      </w:tr>
      <w:tr w14:paraId="4046FFB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40CB51DD">
            <w:pPr>
              <w:ind w:firstLine="0" w:firstLineChars="0"/>
              <w:jc w:val="center"/>
              <w:rPr>
                <w:rFonts w:ascii="宋体" w:hAnsi="宋体"/>
                <w:sz w:val="21"/>
                <w:szCs w:val="21"/>
              </w:rPr>
            </w:pPr>
            <w:r>
              <w:rPr>
                <w:rFonts w:hint="eastAsia" w:ascii="宋体" w:hAnsi="宋体"/>
                <w:sz w:val="21"/>
                <w:szCs w:val="21"/>
              </w:rPr>
              <w:t>针入度指数PI 不小于</w:t>
            </w:r>
          </w:p>
        </w:tc>
        <w:tc>
          <w:tcPr>
            <w:tcW w:w="1484" w:type="dxa"/>
          </w:tcPr>
          <w:p w14:paraId="53105D2E">
            <w:pPr>
              <w:ind w:firstLine="0" w:firstLineChars="0"/>
              <w:jc w:val="center"/>
              <w:rPr>
                <w:rFonts w:ascii="宋体" w:hAnsi="宋体"/>
                <w:sz w:val="21"/>
                <w:szCs w:val="21"/>
              </w:rPr>
            </w:pPr>
          </w:p>
        </w:tc>
        <w:tc>
          <w:tcPr>
            <w:tcW w:w="2131" w:type="dxa"/>
            <w:vAlign w:val="center"/>
          </w:tcPr>
          <w:p w14:paraId="35D39C02">
            <w:pPr>
              <w:ind w:firstLine="0" w:firstLineChars="0"/>
              <w:jc w:val="center"/>
              <w:rPr>
                <w:rFonts w:ascii="宋体" w:hAnsi="宋体"/>
                <w:sz w:val="21"/>
                <w:szCs w:val="21"/>
              </w:rPr>
            </w:pPr>
            <w:r>
              <w:rPr>
                <w:rFonts w:hint="eastAsia" w:ascii="宋体" w:hAnsi="宋体"/>
                <w:sz w:val="21"/>
                <w:szCs w:val="21"/>
              </w:rPr>
              <w:t>0</w:t>
            </w:r>
          </w:p>
        </w:tc>
        <w:tc>
          <w:tcPr>
            <w:tcW w:w="1640" w:type="dxa"/>
            <w:vAlign w:val="center"/>
          </w:tcPr>
          <w:p w14:paraId="1214BA97">
            <w:pPr>
              <w:ind w:firstLine="0" w:firstLineChars="0"/>
              <w:jc w:val="center"/>
              <w:rPr>
                <w:rFonts w:ascii="宋体" w:hAnsi="宋体"/>
                <w:sz w:val="21"/>
                <w:szCs w:val="21"/>
              </w:rPr>
            </w:pPr>
            <w:r>
              <w:rPr>
                <w:rFonts w:hint="eastAsia" w:ascii="宋体" w:hAnsi="宋体"/>
                <w:sz w:val="21"/>
                <w:szCs w:val="21"/>
              </w:rPr>
              <w:t>T 0604</w:t>
            </w:r>
          </w:p>
        </w:tc>
      </w:tr>
      <w:tr w14:paraId="725636F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7ECD90B5">
            <w:pPr>
              <w:ind w:firstLine="0" w:firstLineChars="0"/>
              <w:jc w:val="center"/>
              <w:rPr>
                <w:rFonts w:ascii="宋体" w:hAnsi="宋体"/>
                <w:sz w:val="21"/>
                <w:szCs w:val="21"/>
              </w:rPr>
            </w:pPr>
            <w:r>
              <w:rPr>
                <w:rFonts w:hint="eastAsia" w:ascii="宋体" w:hAnsi="宋体"/>
                <w:sz w:val="21"/>
                <w:szCs w:val="21"/>
              </w:rPr>
              <w:t>延度（5℃，5cm/min）不小于</w:t>
            </w:r>
          </w:p>
        </w:tc>
        <w:tc>
          <w:tcPr>
            <w:tcW w:w="1484" w:type="dxa"/>
          </w:tcPr>
          <w:p w14:paraId="2F355F8C">
            <w:pPr>
              <w:ind w:firstLine="0" w:firstLineChars="0"/>
              <w:jc w:val="center"/>
              <w:rPr>
                <w:rFonts w:ascii="宋体" w:hAnsi="宋体"/>
                <w:sz w:val="21"/>
                <w:szCs w:val="21"/>
              </w:rPr>
            </w:pPr>
            <w:r>
              <w:rPr>
                <w:rFonts w:hint="eastAsia" w:ascii="宋体" w:hAnsi="宋体"/>
                <w:sz w:val="21"/>
                <w:szCs w:val="21"/>
              </w:rPr>
              <w:t>cm</w:t>
            </w:r>
          </w:p>
        </w:tc>
        <w:tc>
          <w:tcPr>
            <w:tcW w:w="2131" w:type="dxa"/>
            <w:vAlign w:val="center"/>
          </w:tcPr>
          <w:p w14:paraId="2D9F5800">
            <w:pPr>
              <w:ind w:firstLine="0" w:firstLineChars="0"/>
              <w:jc w:val="center"/>
              <w:rPr>
                <w:rFonts w:ascii="宋体" w:hAnsi="宋体"/>
                <w:sz w:val="21"/>
                <w:szCs w:val="21"/>
              </w:rPr>
            </w:pPr>
            <w:r>
              <w:rPr>
                <w:rFonts w:hint="eastAsia" w:ascii="宋体" w:hAnsi="宋体"/>
                <w:sz w:val="21"/>
                <w:szCs w:val="21"/>
              </w:rPr>
              <w:t>20</w:t>
            </w:r>
          </w:p>
        </w:tc>
        <w:tc>
          <w:tcPr>
            <w:tcW w:w="1640" w:type="dxa"/>
            <w:vAlign w:val="center"/>
          </w:tcPr>
          <w:p w14:paraId="54FFBF2E">
            <w:pPr>
              <w:ind w:firstLine="0" w:firstLineChars="0"/>
              <w:jc w:val="center"/>
              <w:rPr>
                <w:rFonts w:ascii="宋体" w:hAnsi="宋体"/>
                <w:sz w:val="21"/>
                <w:szCs w:val="21"/>
              </w:rPr>
            </w:pPr>
            <w:r>
              <w:rPr>
                <w:rFonts w:hint="eastAsia" w:ascii="宋体" w:hAnsi="宋体"/>
                <w:sz w:val="21"/>
                <w:szCs w:val="21"/>
              </w:rPr>
              <w:t>T 0605</w:t>
            </w:r>
          </w:p>
        </w:tc>
      </w:tr>
      <w:tr w14:paraId="6317B9A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70880AE8">
            <w:pPr>
              <w:ind w:firstLine="0" w:firstLineChars="0"/>
              <w:jc w:val="center"/>
              <w:rPr>
                <w:rFonts w:ascii="宋体" w:hAnsi="宋体"/>
                <w:sz w:val="21"/>
                <w:szCs w:val="21"/>
              </w:rPr>
            </w:pPr>
            <w:r>
              <w:rPr>
                <w:rFonts w:hint="eastAsia" w:ascii="宋体" w:hAnsi="宋体"/>
                <w:sz w:val="21"/>
                <w:szCs w:val="21"/>
              </w:rPr>
              <w:t>软化点TR&amp;B  不小于</w:t>
            </w:r>
          </w:p>
        </w:tc>
        <w:tc>
          <w:tcPr>
            <w:tcW w:w="1484" w:type="dxa"/>
          </w:tcPr>
          <w:p w14:paraId="2E174A50">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4E8AA56B">
            <w:pPr>
              <w:ind w:firstLine="0" w:firstLineChars="0"/>
              <w:jc w:val="center"/>
              <w:rPr>
                <w:rFonts w:ascii="宋体" w:hAnsi="宋体"/>
                <w:sz w:val="21"/>
                <w:szCs w:val="21"/>
              </w:rPr>
            </w:pPr>
            <w:r>
              <w:rPr>
                <w:rFonts w:hint="eastAsia" w:ascii="宋体" w:hAnsi="宋体"/>
                <w:sz w:val="21"/>
                <w:szCs w:val="21"/>
              </w:rPr>
              <w:t>60</w:t>
            </w:r>
          </w:p>
        </w:tc>
        <w:tc>
          <w:tcPr>
            <w:tcW w:w="1640" w:type="dxa"/>
            <w:vAlign w:val="center"/>
          </w:tcPr>
          <w:p w14:paraId="37F8E937">
            <w:pPr>
              <w:ind w:firstLine="0" w:firstLineChars="0"/>
              <w:jc w:val="center"/>
              <w:rPr>
                <w:rFonts w:ascii="宋体" w:hAnsi="宋体"/>
                <w:sz w:val="21"/>
                <w:szCs w:val="21"/>
              </w:rPr>
            </w:pPr>
            <w:r>
              <w:rPr>
                <w:rFonts w:hint="eastAsia" w:ascii="宋体" w:hAnsi="宋体"/>
                <w:sz w:val="21"/>
                <w:szCs w:val="21"/>
              </w:rPr>
              <w:t>T 0606</w:t>
            </w:r>
          </w:p>
        </w:tc>
      </w:tr>
      <w:tr w14:paraId="50F5015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203ADB65">
            <w:pPr>
              <w:ind w:firstLine="0" w:firstLineChars="0"/>
              <w:jc w:val="center"/>
              <w:rPr>
                <w:rFonts w:ascii="宋体" w:hAnsi="宋体"/>
                <w:sz w:val="21"/>
                <w:szCs w:val="21"/>
              </w:rPr>
            </w:pPr>
            <w:r>
              <w:rPr>
                <w:rFonts w:hint="eastAsia" w:ascii="宋体" w:hAnsi="宋体"/>
                <w:sz w:val="21"/>
                <w:szCs w:val="21"/>
              </w:rPr>
              <w:t>运动粘度（135℃） 不大于</w:t>
            </w:r>
          </w:p>
        </w:tc>
        <w:tc>
          <w:tcPr>
            <w:tcW w:w="1484" w:type="dxa"/>
          </w:tcPr>
          <w:p w14:paraId="0CFF785A">
            <w:pPr>
              <w:ind w:firstLine="0" w:firstLineChars="0"/>
              <w:jc w:val="center"/>
              <w:rPr>
                <w:rFonts w:ascii="宋体" w:hAnsi="宋体"/>
                <w:sz w:val="21"/>
                <w:szCs w:val="21"/>
              </w:rPr>
            </w:pPr>
            <w:r>
              <w:rPr>
                <w:rFonts w:hint="eastAsia" w:ascii="宋体" w:hAnsi="宋体"/>
                <w:sz w:val="21"/>
                <w:szCs w:val="21"/>
              </w:rPr>
              <w:t>Pa.s</w:t>
            </w:r>
          </w:p>
        </w:tc>
        <w:tc>
          <w:tcPr>
            <w:tcW w:w="2131" w:type="dxa"/>
            <w:vAlign w:val="center"/>
          </w:tcPr>
          <w:p w14:paraId="3FB8D330">
            <w:pPr>
              <w:ind w:firstLine="0" w:firstLineChars="0"/>
              <w:jc w:val="center"/>
              <w:rPr>
                <w:rFonts w:ascii="宋体" w:hAnsi="宋体"/>
                <w:sz w:val="21"/>
                <w:szCs w:val="21"/>
              </w:rPr>
            </w:pPr>
            <w:r>
              <w:rPr>
                <w:rFonts w:hint="eastAsia" w:ascii="宋体" w:hAnsi="宋体"/>
                <w:sz w:val="21"/>
                <w:szCs w:val="21"/>
              </w:rPr>
              <w:t>3</w:t>
            </w:r>
          </w:p>
        </w:tc>
        <w:tc>
          <w:tcPr>
            <w:tcW w:w="1640" w:type="dxa"/>
            <w:vAlign w:val="center"/>
          </w:tcPr>
          <w:p w14:paraId="308A9EA6">
            <w:pPr>
              <w:ind w:firstLine="0" w:firstLineChars="0"/>
              <w:jc w:val="center"/>
              <w:rPr>
                <w:rFonts w:ascii="宋体" w:hAnsi="宋体"/>
                <w:sz w:val="21"/>
                <w:szCs w:val="21"/>
              </w:rPr>
            </w:pPr>
            <w:r>
              <w:rPr>
                <w:rFonts w:hint="eastAsia" w:ascii="宋体" w:hAnsi="宋体"/>
                <w:sz w:val="21"/>
                <w:szCs w:val="21"/>
              </w:rPr>
              <w:t>T 0625 T 0619</w:t>
            </w:r>
          </w:p>
        </w:tc>
      </w:tr>
      <w:tr w14:paraId="55DE78B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62419244">
            <w:pPr>
              <w:ind w:firstLine="0" w:firstLineChars="0"/>
              <w:jc w:val="center"/>
              <w:rPr>
                <w:rFonts w:ascii="宋体" w:hAnsi="宋体"/>
                <w:sz w:val="21"/>
                <w:szCs w:val="21"/>
              </w:rPr>
            </w:pPr>
            <w:r>
              <w:rPr>
                <w:rFonts w:hint="eastAsia" w:ascii="宋体" w:hAnsi="宋体"/>
                <w:sz w:val="21"/>
                <w:szCs w:val="21"/>
              </w:rPr>
              <w:t>闪点  不小于</w:t>
            </w:r>
          </w:p>
        </w:tc>
        <w:tc>
          <w:tcPr>
            <w:tcW w:w="1484" w:type="dxa"/>
          </w:tcPr>
          <w:p w14:paraId="089519DE">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5B0E00FC">
            <w:pPr>
              <w:ind w:firstLine="0" w:firstLineChars="0"/>
              <w:jc w:val="center"/>
              <w:rPr>
                <w:rFonts w:ascii="宋体" w:hAnsi="宋体"/>
                <w:sz w:val="21"/>
                <w:szCs w:val="21"/>
              </w:rPr>
            </w:pPr>
            <w:r>
              <w:rPr>
                <w:rFonts w:hint="eastAsia" w:ascii="宋体" w:hAnsi="宋体"/>
                <w:sz w:val="21"/>
                <w:szCs w:val="21"/>
              </w:rPr>
              <w:t>230</w:t>
            </w:r>
          </w:p>
        </w:tc>
        <w:tc>
          <w:tcPr>
            <w:tcW w:w="1640" w:type="dxa"/>
            <w:vAlign w:val="center"/>
          </w:tcPr>
          <w:p w14:paraId="4348AB3F">
            <w:pPr>
              <w:ind w:firstLine="0" w:firstLineChars="0"/>
              <w:jc w:val="center"/>
              <w:rPr>
                <w:rFonts w:ascii="宋体" w:hAnsi="宋体"/>
                <w:sz w:val="21"/>
                <w:szCs w:val="21"/>
              </w:rPr>
            </w:pPr>
            <w:r>
              <w:rPr>
                <w:rFonts w:hint="eastAsia" w:ascii="宋体" w:hAnsi="宋体"/>
                <w:sz w:val="21"/>
                <w:szCs w:val="21"/>
              </w:rPr>
              <w:t>T 0611</w:t>
            </w:r>
          </w:p>
        </w:tc>
      </w:tr>
      <w:tr w14:paraId="5838B37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52C9BC60">
            <w:pPr>
              <w:ind w:firstLine="0" w:firstLineChars="0"/>
              <w:jc w:val="center"/>
              <w:rPr>
                <w:rFonts w:ascii="宋体" w:hAnsi="宋体"/>
                <w:sz w:val="21"/>
                <w:szCs w:val="21"/>
              </w:rPr>
            </w:pPr>
            <w:r>
              <w:rPr>
                <w:rFonts w:hint="eastAsia" w:ascii="宋体" w:hAnsi="宋体"/>
                <w:sz w:val="21"/>
                <w:szCs w:val="21"/>
              </w:rPr>
              <w:t>溶解度  不小于</w:t>
            </w:r>
          </w:p>
        </w:tc>
        <w:tc>
          <w:tcPr>
            <w:tcW w:w="1484" w:type="dxa"/>
          </w:tcPr>
          <w:p w14:paraId="204C9C0C">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360B44CA">
            <w:pPr>
              <w:ind w:firstLine="0" w:firstLineChars="0"/>
              <w:jc w:val="center"/>
              <w:rPr>
                <w:rFonts w:ascii="宋体" w:hAnsi="宋体"/>
                <w:sz w:val="21"/>
                <w:szCs w:val="21"/>
              </w:rPr>
            </w:pPr>
            <w:r>
              <w:rPr>
                <w:rFonts w:hint="eastAsia" w:ascii="宋体" w:hAnsi="宋体"/>
                <w:sz w:val="21"/>
                <w:szCs w:val="21"/>
              </w:rPr>
              <w:t>99</w:t>
            </w:r>
          </w:p>
        </w:tc>
        <w:tc>
          <w:tcPr>
            <w:tcW w:w="1640" w:type="dxa"/>
            <w:vAlign w:val="center"/>
          </w:tcPr>
          <w:p w14:paraId="695AB759">
            <w:pPr>
              <w:ind w:firstLine="0" w:firstLineChars="0"/>
              <w:jc w:val="center"/>
              <w:rPr>
                <w:rFonts w:ascii="宋体" w:hAnsi="宋体"/>
                <w:sz w:val="21"/>
                <w:szCs w:val="21"/>
              </w:rPr>
            </w:pPr>
            <w:r>
              <w:rPr>
                <w:rFonts w:hint="eastAsia" w:ascii="宋体" w:hAnsi="宋体"/>
                <w:sz w:val="21"/>
                <w:szCs w:val="21"/>
              </w:rPr>
              <w:t>T 0607</w:t>
            </w:r>
          </w:p>
        </w:tc>
      </w:tr>
      <w:tr w14:paraId="0FC5BF5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3402" w:type="dxa"/>
            <w:vAlign w:val="center"/>
          </w:tcPr>
          <w:p w14:paraId="124A9A4E">
            <w:pPr>
              <w:ind w:firstLine="0" w:firstLineChars="0"/>
              <w:jc w:val="center"/>
              <w:rPr>
                <w:rFonts w:ascii="宋体" w:hAnsi="宋体"/>
                <w:sz w:val="21"/>
                <w:szCs w:val="21"/>
              </w:rPr>
            </w:pPr>
            <w:r>
              <w:rPr>
                <w:rFonts w:hint="eastAsia" w:ascii="宋体" w:hAnsi="宋体"/>
                <w:sz w:val="21"/>
                <w:szCs w:val="21"/>
              </w:rPr>
              <w:t>弹性恢复25℃ 不小于</w:t>
            </w:r>
          </w:p>
        </w:tc>
        <w:tc>
          <w:tcPr>
            <w:tcW w:w="1484" w:type="dxa"/>
          </w:tcPr>
          <w:p w14:paraId="530E5849">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685DB9F7">
            <w:pPr>
              <w:ind w:firstLine="0" w:firstLineChars="0"/>
              <w:jc w:val="center"/>
              <w:rPr>
                <w:rFonts w:ascii="宋体" w:hAnsi="宋体"/>
                <w:sz w:val="21"/>
                <w:szCs w:val="21"/>
              </w:rPr>
            </w:pPr>
            <w:r>
              <w:rPr>
                <w:rFonts w:hint="eastAsia" w:ascii="宋体" w:hAnsi="宋体"/>
                <w:sz w:val="21"/>
                <w:szCs w:val="21"/>
              </w:rPr>
              <w:t>75</w:t>
            </w:r>
          </w:p>
        </w:tc>
        <w:tc>
          <w:tcPr>
            <w:tcW w:w="1640" w:type="dxa"/>
            <w:vAlign w:val="center"/>
          </w:tcPr>
          <w:p w14:paraId="6EB42393">
            <w:pPr>
              <w:ind w:firstLine="0" w:firstLineChars="0"/>
              <w:jc w:val="center"/>
              <w:rPr>
                <w:rFonts w:ascii="宋体" w:hAnsi="宋体"/>
                <w:sz w:val="21"/>
                <w:szCs w:val="21"/>
              </w:rPr>
            </w:pPr>
            <w:r>
              <w:rPr>
                <w:rFonts w:hint="eastAsia" w:ascii="宋体" w:hAnsi="宋体"/>
                <w:sz w:val="21"/>
                <w:szCs w:val="21"/>
              </w:rPr>
              <w:t>T 0662</w:t>
            </w:r>
          </w:p>
        </w:tc>
      </w:tr>
      <w:tr w14:paraId="02BD59E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exact"/>
          <w:jc w:val="center"/>
        </w:trPr>
        <w:tc>
          <w:tcPr>
            <w:tcW w:w="3402" w:type="dxa"/>
            <w:vAlign w:val="center"/>
          </w:tcPr>
          <w:p w14:paraId="304AD0C3">
            <w:pPr>
              <w:ind w:firstLine="0" w:firstLineChars="0"/>
              <w:jc w:val="center"/>
              <w:rPr>
                <w:rFonts w:ascii="宋体" w:hAnsi="宋体"/>
                <w:sz w:val="21"/>
                <w:szCs w:val="21"/>
              </w:rPr>
            </w:pPr>
            <w:r>
              <w:rPr>
                <w:rFonts w:hint="eastAsia" w:ascii="宋体" w:hAnsi="宋体"/>
                <w:sz w:val="21"/>
                <w:szCs w:val="21"/>
              </w:rPr>
              <w:t xml:space="preserve">贮存稳定性离析，48h软化点差， </w:t>
            </w:r>
          </w:p>
          <w:p w14:paraId="4137A65A">
            <w:pPr>
              <w:ind w:firstLine="0" w:firstLineChars="0"/>
              <w:jc w:val="center"/>
              <w:rPr>
                <w:rFonts w:ascii="宋体" w:hAnsi="宋体"/>
                <w:sz w:val="21"/>
                <w:szCs w:val="21"/>
              </w:rPr>
            </w:pPr>
            <w:r>
              <w:rPr>
                <w:rFonts w:hint="eastAsia" w:ascii="宋体" w:hAnsi="宋体"/>
                <w:sz w:val="21"/>
                <w:szCs w:val="21"/>
              </w:rPr>
              <w:t>不大于</w:t>
            </w:r>
          </w:p>
        </w:tc>
        <w:tc>
          <w:tcPr>
            <w:tcW w:w="1484" w:type="dxa"/>
            <w:vAlign w:val="center"/>
          </w:tcPr>
          <w:p w14:paraId="0EF5988D">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7EEA0221">
            <w:pPr>
              <w:ind w:firstLine="0" w:firstLineChars="0"/>
              <w:jc w:val="center"/>
              <w:rPr>
                <w:rFonts w:ascii="宋体" w:hAnsi="宋体"/>
                <w:sz w:val="21"/>
                <w:szCs w:val="21"/>
              </w:rPr>
            </w:pPr>
            <w:r>
              <w:rPr>
                <w:rFonts w:hint="eastAsia" w:ascii="宋体" w:hAnsi="宋体"/>
                <w:sz w:val="21"/>
                <w:szCs w:val="21"/>
              </w:rPr>
              <w:t>2.5</w:t>
            </w:r>
          </w:p>
        </w:tc>
        <w:tc>
          <w:tcPr>
            <w:tcW w:w="1640" w:type="dxa"/>
            <w:vAlign w:val="center"/>
          </w:tcPr>
          <w:p w14:paraId="7260B2EE">
            <w:pPr>
              <w:ind w:firstLine="0" w:firstLineChars="0"/>
              <w:jc w:val="center"/>
              <w:rPr>
                <w:rFonts w:ascii="宋体" w:hAnsi="宋体"/>
                <w:sz w:val="21"/>
                <w:szCs w:val="21"/>
              </w:rPr>
            </w:pPr>
            <w:r>
              <w:rPr>
                <w:rFonts w:hint="eastAsia" w:ascii="宋体" w:hAnsi="宋体"/>
                <w:sz w:val="21"/>
                <w:szCs w:val="21"/>
              </w:rPr>
              <w:t>T 0661</w:t>
            </w:r>
          </w:p>
        </w:tc>
      </w:tr>
      <w:tr w14:paraId="68175C9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exact"/>
          <w:jc w:val="center"/>
        </w:trPr>
        <w:tc>
          <w:tcPr>
            <w:tcW w:w="8657" w:type="dxa"/>
            <w:gridSpan w:val="4"/>
            <w:vAlign w:val="center"/>
          </w:tcPr>
          <w:p w14:paraId="352F0674">
            <w:pPr>
              <w:ind w:firstLine="0" w:firstLineChars="0"/>
              <w:jc w:val="center"/>
              <w:rPr>
                <w:rFonts w:ascii="宋体" w:hAnsi="宋体"/>
                <w:sz w:val="21"/>
                <w:szCs w:val="21"/>
              </w:rPr>
            </w:pPr>
            <w:r>
              <w:rPr>
                <w:rFonts w:hint="eastAsia" w:ascii="宋体" w:hAnsi="宋体"/>
                <w:sz w:val="21"/>
                <w:szCs w:val="21"/>
              </w:rPr>
              <w:t>TFOT(或RTFOT)后残留量</w:t>
            </w:r>
          </w:p>
        </w:tc>
      </w:tr>
      <w:tr w14:paraId="03D8E46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637" w:hRule="exact"/>
          <w:jc w:val="center"/>
        </w:trPr>
        <w:tc>
          <w:tcPr>
            <w:tcW w:w="3402" w:type="dxa"/>
            <w:vAlign w:val="center"/>
          </w:tcPr>
          <w:p w14:paraId="63472202">
            <w:pPr>
              <w:ind w:firstLine="0" w:firstLineChars="0"/>
              <w:jc w:val="center"/>
              <w:rPr>
                <w:rFonts w:ascii="宋体" w:hAnsi="宋体"/>
                <w:sz w:val="21"/>
                <w:szCs w:val="21"/>
              </w:rPr>
            </w:pPr>
            <w:r>
              <w:rPr>
                <w:rFonts w:hint="eastAsia" w:ascii="宋体" w:hAnsi="宋体"/>
                <w:sz w:val="21"/>
                <w:szCs w:val="21"/>
              </w:rPr>
              <w:t>质量变化，不大于</w:t>
            </w:r>
          </w:p>
        </w:tc>
        <w:tc>
          <w:tcPr>
            <w:tcW w:w="1484" w:type="dxa"/>
            <w:vAlign w:val="center"/>
          </w:tcPr>
          <w:p w14:paraId="3AF07FD1">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37644DA4">
            <w:pPr>
              <w:ind w:firstLine="0" w:firstLineChars="0"/>
              <w:jc w:val="center"/>
              <w:rPr>
                <w:rFonts w:ascii="宋体" w:hAnsi="宋体"/>
                <w:sz w:val="21"/>
                <w:szCs w:val="21"/>
              </w:rPr>
            </w:pPr>
            <w:r>
              <w:rPr>
                <w:rFonts w:hint="eastAsia" w:ascii="宋体" w:hAnsi="宋体"/>
                <w:sz w:val="21"/>
                <w:szCs w:val="21"/>
              </w:rPr>
              <w:t>±1.0</w:t>
            </w:r>
          </w:p>
        </w:tc>
        <w:tc>
          <w:tcPr>
            <w:tcW w:w="1640" w:type="dxa"/>
            <w:vAlign w:val="center"/>
          </w:tcPr>
          <w:p w14:paraId="1E0368D1">
            <w:pPr>
              <w:ind w:firstLine="0" w:firstLineChars="0"/>
              <w:jc w:val="center"/>
              <w:rPr>
                <w:rFonts w:ascii="宋体" w:hAnsi="宋体"/>
                <w:sz w:val="21"/>
                <w:szCs w:val="21"/>
              </w:rPr>
            </w:pPr>
            <w:r>
              <w:rPr>
                <w:rFonts w:hint="eastAsia" w:ascii="宋体" w:hAnsi="宋体"/>
                <w:sz w:val="21"/>
                <w:szCs w:val="21"/>
              </w:rPr>
              <w:t>T 0610或T 0609</w:t>
            </w:r>
          </w:p>
        </w:tc>
      </w:tr>
      <w:tr w14:paraId="3990DD8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exact"/>
          <w:jc w:val="center"/>
        </w:trPr>
        <w:tc>
          <w:tcPr>
            <w:tcW w:w="3402" w:type="dxa"/>
            <w:vAlign w:val="center"/>
          </w:tcPr>
          <w:p w14:paraId="32BF3263">
            <w:pPr>
              <w:ind w:firstLine="0" w:firstLineChars="0"/>
              <w:jc w:val="center"/>
              <w:rPr>
                <w:rFonts w:ascii="宋体" w:hAnsi="宋体"/>
                <w:sz w:val="21"/>
                <w:szCs w:val="21"/>
              </w:rPr>
            </w:pPr>
            <w:r>
              <w:rPr>
                <w:rFonts w:hint="eastAsia" w:ascii="宋体" w:hAnsi="宋体"/>
                <w:sz w:val="21"/>
                <w:szCs w:val="21"/>
              </w:rPr>
              <w:t>针入度25℃，不小于</w:t>
            </w:r>
          </w:p>
        </w:tc>
        <w:tc>
          <w:tcPr>
            <w:tcW w:w="1484" w:type="dxa"/>
            <w:vAlign w:val="center"/>
          </w:tcPr>
          <w:p w14:paraId="6BFCDA2D">
            <w:pPr>
              <w:ind w:firstLine="0" w:firstLineChars="0"/>
              <w:jc w:val="center"/>
              <w:rPr>
                <w:rFonts w:ascii="宋体" w:hAnsi="宋体"/>
                <w:sz w:val="21"/>
                <w:szCs w:val="21"/>
              </w:rPr>
            </w:pPr>
            <w:r>
              <w:rPr>
                <w:rFonts w:hint="eastAsia" w:ascii="宋体" w:hAnsi="宋体"/>
                <w:sz w:val="21"/>
                <w:szCs w:val="21"/>
              </w:rPr>
              <w:t>%</w:t>
            </w:r>
          </w:p>
        </w:tc>
        <w:tc>
          <w:tcPr>
            <w:tcW w:w="2131" w:type="dxa"/>
            <w:vAlign w:val="center"/>
          </w:tcPr>
          <w:p w14:paraId="5E4AE4DC">
            <w:pPr>
              <w:ind w:firstLine="0" w:firstLineChars="0"/>
              <w:jc w:val="center"/>
              <w:rPr>
                <w:rFonts w:ascii="宋体" w:hAnsi="宋体"/>
                <w:sz w:val="21"/>
                <w:szCs w:val="21"/>
              </w:rPr>
            </w:pPr>
            <w:r>
              <w:rPr>
                <w:rFonts w:hint="eastAsia" w:ascii="宋体" w:hAnsi="宋体"/>
                <w:sz w:val="21"/>
                <w:szCs w:val="21"/>
              </w:rPr>
              <w:t>65</w:t>
            </w:r>
          </w:p>
        </w:tc>
        <w:tc>
          <w:tcPr>
            <w:tcW w:w="1640" w:type="dxa"/>
            <w:vAlign w:val="center"/>
          </w:tcPr>
          <w:p w14:paraId="7A3AB724">
            <w:pPr>
              <w:ind w:firstLine="0" w:firstLineChars="0"/>
              <w:jc w:val="center"/>
              <w:rPr>
                <w:rFonts w:ascii="宋体" w:hAnsi="宋体"/>
                <w:sz w:val="21"/>
                <w:szCs w:val="21"/>
              </w:rPr>
            </w:pPr>
            <w:r>
              <w:rPr>
                <w:rFonts w:hint="eastAsia" w:ascii="宋体" w:hAnsi="宋体"/>
                <w:sz w:val="21"/>
                <w:szCs w:val="21"/>
              </w:rPr>
              <w:t>T 0604</w:t>
            </w:r>
          </w:p>
        </w:tc>
      </w:tr>
      <w:tr w14:paraId="5C9A7AD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493" w:hRule="exact"/>
          <w:jc w:val="center"/>
        </w:trPr>
        <w:tc>
          <w:tcPr>
            <w:tcW w:w="3402" w:type="dxa"/>
            <w:vAlign w:val="center"/>
          </w:tcPr>
          <w:p w14:paraId="058EA0C4">
            <w:pPr>
              <w:ind w:firstLine="0" w:firstLineChars="0"/>
              <w:jc w:val="center"/>
              <w:rPr>
                <w:rFonts w:ascii="宋体" w:hAnsi="宋体"/>
                <w:sz w:val="21"/>
                <w:szCs w:val="21"/>
              </w:rPr>
            </w:pPr>
            <w:r>
              <w:rPr>
                <w:rFonts w:hint="eastAsia" w:ascii="宋体" w:hAnsi="宋体"/>
                <w:sz w:val="21"/>
                <w:szCs w:val="21"/>
              </w:rPr>
              <w:t>延度5℃，不小于</w:t>
            </w:r>
          </w:p>
        </w:tc>
        <w:tc>
          <w:tcPr>
            <w:tcW w:w="1484" w:type="dxa"/>
            <w:vAlign w:val="center"/>
          </w:tcPr>
          <w:p w14:paraId="4BBA3F31">
            <w:pPr>
              <w:ind w:firstLine="0" w:firstLineChars="0"/>
              <w:jc w:val="center"/>
              <w:rPr>
                <w:rFonts w:ascii="宋体" w:hAnsi="宋体"/>
                <w:sz w:val="21"/>
                <w:szCs w:val="21"/>
              </w:rPr>
            </w:pPr>
            <w:r>
              <w:rPr>
                <w:rFonts w:hint="eastAsia" w:ascii="宋体" w:hAnsi="宋体"/>
                <w:sz w:val="21"/>
                <w:szCs w:val="21"/>
              </w:rPr>
              <w:t>cm</w:t>
            </w:r>
          </w:p>
        </w:tc>
        <w:tc>
          <w:tcPr>
            <w:tcW w:w="2131" w:type="dxa"/>
            <w:vAlign w:val="center"/>
          </w:tcPr>
          <w:p w14:paraId="43171949">
            <w:pPr>
              <w:ind w:firstLine="0" w:firstLineChars="0"/>
              <w:jc w:val="center"/>
              <w:rPr>
                <w:rFonts w:ascii="宋体" w:hAnsi="宋体"/>
                <w:sz w:val="21"/>
                <w:szCs w:val="21"/>
              </w:rPr>
            </w:pPr>
            <w:r>
              <w:rPr>
                <w:rFonts w:hint="eastAsia" w:ascii="宋体" w:hAnsi="宋体"/>
                <w:sz w:val="21"/>
                <w:szCs w:val="21"/>
              </w:rPr>
              <w:t>15</w:t>
            </w:r>
          </w:p>
        </w:tc>
        <w:tc>
          <w:tcPr>
            <w:tcW w:w="1640" w:type="dxa"/>
            <w:vAlign w:val="center"/>
          </w:tcPr>
          <w:p w14:paraId="6831E13B">
            <w:pPr>
              <w:ind w:firstLine="0" w:firstLineChars="0"/>
              <w:jc w:val="center"/>
              <w:rPr>
                <w:rFonts w:ascii="宋体" w:hAnsi="宋体"/>
                <w:sz w:val="21"/>
                <w:szCs w:val="21"/>
              </w:rPr>
            </w:pPr>
            <w:r>
              <w:rPr>
                <w:rFonts w:hint="eastAsia" w:ascii="宋体" w:hAnsi="宋体"/>
                <w:sz w:val="21"/>
                <w:szCs w:val="21"/>
              </w:rPr>
              <w:t>T 0604</w:t>
            </w:r>
          </w:p>
        </w:tc>
      </w:tr>
    </w:tbl>
    <w:p w14:paraId="2D682F60">
      <w:pPr>
        <w:ind w:firstLine="480"/>
        <w:rPr>
          <w:rFonts w:ascii="宋体" w:hAnsi="宋体" w:cs="宋体"/>
          <w:szCs w:val="24"/>
        </w:rPr>
      </w:pPr>
      <w:r>
        <w:rPr>
          <w:rFonts w:hint="eastAsia" w:ascii="宋体" w:hAnsi="宋体" w:cs="宋体"/>
          <w:szCs w:val="24"/>
        </w:rPr>
        <w:t>（</w:t>
      </w:r>
      <w:r>
        <w:rPr>
          <w:rFonts w:ascii="宋体" w:hAnsi="宋体" w:cs="宋体"/>
          <w:szCs w:val="24"/>
        </w:rPr>
        <w:t>3</w:t>
      </w:r>
      <w:r>
        <w:rPr>
          <w:rFonts w:hint="eastAsia" w:ascii="宋体" w:hAnsi="宋体" w:cs="宋体"/>
          <w:szCs w:val="24"/>
        </w:rPr>
        <w:t>）粘层油</w:t>
      </w:r>
    </w:p>
    <w:p w14:paraId="10EE4D78">
      <w:pPr>
        <w:ind w:firstLine="480"/>
        <w:rPr>
          <w:rFonts w:ascii="宋体" w:hAnsi="宋体"/>
          <w:color w:val="000000"/>
          <w:szCs w:val="24"/>
        </w:rPr>
      </w:pPr>
      <w:r>
        <w:rPr>
          <w:rFonts w:hint="eastAsia" w:ascii="宋体" w:hAnsi="宋体"/>
          <w:color w:val="000000"/>
          <w:szCs w:val="24"/>
        </w:rPr>
        <w:t>热拌热铺沥青混合料路面的沥青层间，及路缘石、雨水口、检查井等构造物与新铺沥青混合料接触的侧面必须喷洒粘层油，粘层油宜采用快裂或中裂的乳化沥青，规格为PC-3，采用沥青洒布车喷洒，洒布量为0.5L/㎡。粘层油必须喷洒均匀，待乳化沥青破乳、水分蒸发完成，紧跟铺筑沥青层，确保粘层不受污染。</w:t>
      </w:r>
    </w:p>
    <w:p w14:paraId="211EB509">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4</w:t>
      </w:r>
      <w:r>
        <w:rPr>
          <w:rFonts w:hint="eastAsia" w:ascii="宋体" w:hAnsi="宋体"/>
          <w:color w:val="000000"/>
          <w:szCs w:val="24"/>
        </w:rPr>
        <w:t>）透层油</w:t>
      </w:r>
    </w:p>
    <w:p w14:paraId="3213D5D7">
      <w:pPr>
        <w:ind w:firstLine="480"/>
        <w:rPr>
          <w:rFonts w:ascii="宋体" w:hAnsi="宋体"/>
          <w:color w:val="000000"/>
          <w:szCs w:val="24"/>
        </w:rPr>
      </w:pPr>
      <w:r>
        <w:rPr>
          <w:rFonts w:hint="eastAsia" w:ascii="宋体" w:hAnsi="宋体"/>
          <w:color w:val="000000"/>
          <w:szCs w:val="24"/>
        </w:rPr>
        <w:t>路面基层表面必须喷洒透层油，沥青层必须在透层油完全渗透入基层后方可铺筑，透层油采用乳化沥青（规格：PC-2），用量为1.5 L/</w:t>
      </w:r>
      <w:r>
        <w:rPr>
          <w:rFonts w:ascii="宋体" w:hAnsi="宋体"/>
          <w:color w:val="000000"/>
          <w:szCs w:val="24"/>
        </w:rPr>
        <w:t xml:space="preserve"> m</w:t>
      </w:r>
      <w:r>
        <w:rPr>
          <w:rFonts w:hint="eastAsia" w:ascii="宋体" w:hAnsi="宋体"/>
          <w:color w:val="000000"/>
          <w:szCs w:val="24"/>
        </w:rPr>
        <w:t>²，具体用量通过试洒确定。透层油深入基层的深度不宜小于5mm。</w:t>
      </w:r>
    </w:p>
    <w:p w14:paraId="3DFF5C18">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5</w:t>
      </w:r>
      <w:r>
        <w:rPr>
          <w:rFonts w:hint="eastAsia" w:ascii="宋体" w:hAnsi="宋体"/>
          <w:color w:val="000000"/>
          <w:szCs w:val="24"/>
        </w:rPr>
        <w:t>）下封层</w:t>
      </w:r>
    </w:p>
    <w:p w14:paraId="087CC709">
      <w:pPr>
        <w:ind w:firstLine="480"/>
        <w:rPr>
          <w:rFonts w:ascii="宋体" w:hAnsi="宋体"/>
          <w:color w:val="000000"/>
          <w:szCs w:val="24"/>
        </w:rPr>
      </w:pPr>
      <w:r>
        <w:rPr>
          <w:rFonts w:hint="eastAsia" w:ascii="宋体" w:hAnsi="宋体"/>
          <w:color w:val="000000"/>
          <w:szCs w:val="24"/>
        </w:rPr>
        <w:t>下封层采用层铺法，厚度10mm，要求完全密水，采用沥青单层表面处治，用量</w:t>
      </w:r>
      <w:r>
        <w:rPr>
          <w:rFonts w:ascii="宋体" w:hAnsi="宋体"/>
          <w:color w:val="000000"/>
          <w:szCs w:val="24"/>
        </w:rPr>
        <w:t>1.1</w:t>
      </w:r>
      <w:r>
        <w:rPr>
          <w:rFonts w:hint="eastAsia" w:ascii="宋体" w:hAnsi="宋体"/>
          <w:color w:val="000000"/>
          <w:szCs w:val="24"/>
        </w:rPr>
        <w:t>kg</w:t>
      </w:r>
      <w:r>
        <w:rPr>
          <w:rFonts w:ascii="宋体" w:hAnsi="宋体"/>
          <w:color w:val="000000"/>
          <w:szCs w:val="24"/>
        </w:rPr>
        <w:t>/m</w:t>
      </w:r>
      <w:r>
        <w:rPr>
          <w:rFonts w:hint="eastAsia" w:ascii="宋体" w:hAnsi="宋体"/>
          <w:color w:val="000000"/>
          <w:szCs w:val="24"/>
        </w:rPr>
        <w:t>²，矿料</w:t>
      </w:r>
      <w:r>
        <w:rPr>
          <w:rFonts w:ascii="宋体" w:hAnsi="宋体"/>
          <w:color w:val="000000"/>
          <w:szCs w:val="24"/>
        </w:rPr>
        <w:t>8m</w:t>
      </w:r>
      <w:r>
        <w:rPr>
          <w:rFonts w:hint="eastAsia" w:ascii="宋体" w:hAnsi="宋体"/>
          <w:color w:val="000000"/>
          <w:szCs w:val="24"/>
        </w:rPr>
        <w:t>³</w:t>
      </w:r>
      <w:r>
        <w:rPr>
          <w:rFonts w:ascii="宋体" w:hAnsi="宋体"/>
          <w:color w:val="000000"/>
          <w:szCs w:val="24"/>
        </w:rPr>
        <w:t>/1000m</w:t>
      </w:r>
      <w:r>
        <w:rPr>
          <w:rFonts w:hint="eastAsia" w:ascii="宋体" w:hAnsi="宋体"/>
          <w:color w:val="000000"/>
          <w:szCs w:val="24"/>
        </w:rPr>
        <w:t>²。</w:t>
      </w:r>
    </w:p>
    <w:p w14:paraId="35EC4E3B">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6</w:t>
      </w:r>
      <w:r>
        <w:rPr>
          <w:rFonts w:hint="eastAsia" w:ascii="宋体" w:hAnsi="宋体"/>
          <w:color w:val="000000"/>
          <w:szCs w:val="24"/>
        </w:rPr>
        <w:t>）粗集料</w:t>
      </w:r>
    </w:p>
    <w:p w14:paraId="4581FC7C">
      <w:pPr>
        <w:ind w:firstLine="480"/>
        <w:rPr>
          <w:rFonts w:ascii="宋体" w:hAnsi="宋体"/>
          <w:color w:val="000000"/>
          <w:szCs w:val="24"/>
        </w:rPr>
      </w:pPr>
      <w:r>
        <w:rPr>
          <w:rFonts w:hint="eastAsia" w:ascii="宋体" w:hAnsi="宋体"/>
          <w:color w:val="000000"/>
          <w:szCs w:val="24"/>
        </w:rPr>
        <w:t>集料应按要求尺寸轧碎的坚固、强韧、耐久的石料,表面应粗糙有棱角、尽量接近立方体形状，应具有较低的压碎值、磨耗值和较高的磨光值,并与沥青具有良好的粘附性,应满足《公路沥青路面施工技术规范》（JTG F40—2004）的要求（见下表），试验方法请参照《公路工程集料试验规程》（JTG E42－2005）进行，应对每批来料进行检验。</w:t>
      </w:r>
    </w:p>
    <w:p w14:paraId="332AF2C5">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沥青表面层粗集料质量技术要求</w:t>
      </w:r>
    </w:p>
    <w:tbl>
      <w:tblPr>
        <w:tblStyle w:val="88"/>
        <w:tblW w:w="9018"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4680"/>
        <w:gridCol w:w="1026"/>
        <w:gridCol w:w="1236"/>
        <w:gridCol w:w="2076"/>
      </w:tblGrid>
      <w:tr w14:paraId="2809249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22" w:hRule="atLeast"/>
          <w:tblHeader/>
          <w:jc w:val="center"/>
        </w:trPr>
        <w:tc>
          <w:tcPr>
            <w:tcW w:w="4680" w:type="dxa"/>
            <w:shd w:val="clear" w:color="auto" w:fill="auto"/>
            <w:vAlign w:val="center"/>
          </w:tcPr>
          <w:p w14:paraId="11B043B7">
            <w:pPr>
              <w:ind w:firstLine="0" w:firstLineChars="0"/>
              <w:jc w:val="center"/>
              <w:rPr>
                <w:rFonts w:ascii="宋体" w:hAnsi="宋体"/>
                <w:sz w:val="21"/>
                <w:szCs w:val="21"/>
              </w:rPr>
            </w:pPr>
            <w:r>
              <w:rPr>
                <w:rFonts w:hint="eastAsia" w:ascii="宋体" w:hAnsi="宋体"/>
                <w:sz w:val="21"/>
                <w:szCs w:val="21"/>
              </w:rPr>
              <w:t>指     标</w:t>
            </w:r>
          </w:p>
        </w:tc>
        <w:tc>
          <w:tcPr>
            <w:tcW w:w="1026" w:type="dxa"/>
            <w:shd w:val="clear" w:color="auto" w:fill="auto"/>
            <w:vAlign w:val="center"/>
          </w:tcPr>
          <w:p w14:paraId="32227648">
            <w:pPr>
              <w:ind w:firstLine="0" w:firstLineChars="0"/>
              <w:jc w:val="center"/>
              <w:rPr>
                <w:rFonts w:ascii="宋体" w:hAnsi="宋体"/>
                <w:sz w:val="21"/>
                <w:szCs w:val="21"/>
              </w:rPr>
            </w:pPr>
            <w:r>
              <w:rPr>
                <w:rFonts w:hint="eastAsia" w:ascii="宋体" w:hAnsi="宋体"/>
                <w:sz w:val="21"/>
                <w:szCs w:val="21"/>
              </w:rPr>
              <w:t>上面层</w:t>
            </w:r>
          </w:p>
        </w:tc>
        <w:tc>
          <w:tcPr>
            <w:tcW w:w="1236" w:type="dxa"/>
            <w:shd w:val="clear" w:color="auto" w:fill="auto"/>
            <w:vAlign w:val="center"/>
          </w:tcPr>
          <w:p w14:paraId="6F2087D6">
            <w:pPr>
              <w:ind w:firstLine="0" w:firstLineChars="0"/>
              <w:jc w:val="center"/>
              <w:rPr>
                <w:rFonts w:ascii="宋体" w:hAnsi="宋体"/>
                <w:sz w:val="21"/>
                <w:szCs w:val="21"/>
              </w:rPr>
            </w:pPr>
            <w:r>
              <w:rPr>
                <w:rFonts w:hint="eastAsia" w:ascii="宋体" w:hAnsi="宋体"/>
                <w:sz w:val="21"/>
                <w:szCs w:val="21"/>
              </w:rPr>
              <w:t>其他层次</w:t>
            </w:r>
          </w:p>
        </w:tc>
        <w:tc>
          <w:tcPr>
            <w:tcW w:w="2076" w:type="dxa"/>
            <w:shd w:val="clear" w:color="auto" w:fill="auto"/>
            <w:vAlign w:val="center"/>
          </w:tcPr>
          <w:p w14:paraId="4E081B38">
            <w:pPr>
              <w:ind w:firstLine="0" w:firstLineChars="0"/>
              <w:jc w:val="center"/>
              <w:rPr>
                <w:rFonts w:ascii="宋体" w:hAnsi="宋体"/>
                <w:sz w:val="21"/>
                <w:szCs w:val="21"/>
              </w:rPr>
            </w:pPr>
            <w:r>
              <w:rPr>
                <w:rFonts w:hint="eastAsia" w:ascii="宋体" w:hAnsi="宋体"/>
                <w:sz w:val="21"/>
                <w:szCs w:val="21"/>
              </w:rPr>
              <w:t>试验方法</w:t>
            </w:r>
          </w:p>
        </w:tc>
      </w:tr>
      <w:tr w14:paraId="3871B0A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01CC6D67">
            <w:pPr>
              <w:ind w:firstLine="0" w:firstLineChars="0"/>
              <w:rPr>
                <w:rFonts w:ascii="宋体" w:hAnsi="宋体"/>
                <w:sz w:val="21"/>
                <w:szCs w:val="21"/>
              </w:rPr>
            </w:pPr>
            <w:r>
              <w:rPr>
                <w:rFonts w:hint="eastAsia" w:ascii="宋体" w:hAnsi="宋体"/>
                <w:sz w:val="21"/>
                <w:szCs w:val="21"/>
              </w:rPr>
              <w:t>石料压碎值               不大于％</w:t>
            </w:r>
          </w:p>
        </w:tc>
        <w:tc>
          <w:tcPr>
            <w:tcW w:w="1026" w:type="dxa"/>
            <w:shd w:val="clear" w:color="auto" w:fill="auto"/>
          </w:tcPr>
          <w:p w14:paraId="1A8DA7AA">
            <w:pPr>
              <w:ind w:firstLine="0" w:firstLineChars="0"/>
              <w:jc w:val="center"/>
              <w:rPr>
                <w:rFonts w:ascii="宋体" w:hAnsi="宋体"/>
                <w:sz w:val="21"/>
                <w:szCs w:val="21"/>
              </w:rPr>
            </w:pPr>
            <w:r>
              <w:rPr>
                <w:rFonts w:hint="eastAsia" w:ascii="宋体" w:hAnsi="宋体"/>
                <w:sz w:val="21"/>
                <w:szCs w:val="21"/>
              </w:rPr>
              <w:t>26</w:t>
            </w:r>
          </w:p>
        </w:tc>
        <w:tc>
          <w:tcPr>
            <w:tcW w:w="1236" w:type="dxa"/>
            <w:shd w:val="clear" w:color="auto" w:fill="auto"/>
          </w:tcPr>
          <w:p w14:paraId="4765F4C9">
            <w:pPr>
              <w:ind w:firstLine="0" w:firstLineChars="0"/>
              <w:jc w:val="center"/>
              <w:rPr>
                <w:rFonts w:ascii="宋体" w:hAnsi="宋体"/>
                <w:sz w:val="21"/>
                <w:szCs w:val="21"/>
              </w:rPr>
            </w:pPr>
            <w:r>
              <w:rPr>
                <w:rFonts w:hint="eastAsia" w:ascii="宋体" w:hAnsi="宋体"/>
                <w:sz w:val="21"/>
                <w:szCs w:val="21"/>
              </w:rPr>
              <w:t>28</w:t>
            </w:r>
          </w:p>
        </w:tc>
        <w:tc>
          <w:tcPr>
            <w:tcW w:w="2076" w:type="dxa"/>
            <w:shd w:val="clear" w:color="auto" w:fill="auto"/>
            <w:vAlign w:val="center"/>
          </w:tcPr>
          <w:p w14:paraId="2D6C8D33">
            <w:pPr>
              <w:ind w:firstLine="0" w:firstLineChars="0"/>
              <w:jc w:val="center"/>
              <w:rPr>
                <w:rFonts w:ascii="宋体" w:hAnsi="宋体"/>
                <w:sz w:val="21"/>
                <w:szCs w:val="21"/>
              </w:rPr>
            </w:pPr>
            <w:r>
              <w:rPr>
                <w:rFonts w:hint="eastAsia" w:ascii="宋体" w:hAnsi="宋体"/>
                <w:sz w:val="21"/>
                <w:szCs w:val="21"/>
              </w:rPr>
              <w:t>T 0316</w:t>
            </w:r>
          </w:p>
        </w:tc>
      </w:tr>
      <w:tr w14:paraId="1B8583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7C91AE75">
            <w:pPr>
              <w:ind w:firstLine="0" w:firstLineChars="0"/>
              <w:rPr>
                <w:rFonts w:ascii="宋体" w:hAnsi="宋体"/>
                <w:sz w:val="21"/>
                <w:szCs w:val="21"/>
              </w:rPr>
            </w:pPr>
            <w:r>
              <w:rPr>
                <w:rFonts w:hint="eastAsia" w:ascii="宋体" w:hAnsi="宋体"/>
                <w:sz w:val="21"/>
                <w:szCs w:val="21"/>
              </w:rPr>
              <w:t>洛杉矶磨耗损失           不大于％</w:t>
            </w:r>
          </w:p>
        </w:tc>
        <w:tc>
          <w:tcPr>
            <w:tcW w:w="1026" w:type="dxa"/>
            <w:shd w:val="clear" w:color="auto" w:fill="auto"/>
          </w:tcPr>
          <w:p w14:paraId="7BDEB184">
            <w:pPr>
              <w:ind w:firstLine="0" w:firstLineChars="0"/>
              <w:jc w:val="center"/>
              <w:rPr>
                <w:rFonts w:ascii="宋体" w:hAnsi="宋体"/>
                <w:sz w:val="21"/>
                <w:szCs w:val="21"/>
              </w:rPr>
            </w:pPr>
            <w:r>
              <w:rPr>
                <w:rFonts w:hint="eastAsia" w:ascii="宋体" w:hAnsi="宋体"/>
                <w:sz w:val="21"/>
                <w:szCs w:val="21"/>
              </w:rPr>
              <w:t>28</w:t>
            </w:r>
          </w:p>
        </w:tc>
        <w:tc>
          <w:tcPr>
            <w:tcW w:w="1236" w:type="dxa"/>
            <w:shd w:val="clear" w:color="auto" w:fill="auto"/>
          </w:tcPr>
          <w:p w14:paraId="294D0E44">
            <w:pPr>
              <w:ind w:firstLine="0" w:firstLineChars="0"/>
              <w:jc w:val="center"/>
              <w:rPr>
                <w:rFonts w:ascii="宋体" w:hAnsi="宋体"/>
                <w:sz w:val="21"/>
                <w:szCs w:val="21"/>
              </w:rPr>
            </w:pPr>
            <w:r>
              <w:rPr>
                <w:rFonts w:hint="eastAsia" w:ascii="宋体" w:hAnsi="宋体"/>
                <w:sz w:val="21"/>
                <w:szCs w:val="21"/>
              </w:rPr>
              <w:t>30</w:t>
            </w:r>
          </w:p>
        </w:tc>
        <w:tc>
          <w:tcPr>
            <w:tcW w:w="2076" w:type="dxa"/>
            <w:shd w:val="clear" w:color="auto" w:fill="auto"/>
            <w:vAlign w:val="center"/>
          </w:tcPr>
          <w:p w14:paraId="0C28FD2E">
            <w:pPr>
              <w:ind w:firstLine="0" w:firstLineChars="0"/>
              <w:jc w:val="center"/>
              <w:rPr>
                <w:rFonts w:ascii="宋体" w:hAnsi="宋体"/>
                <w:sz w:val="21"/>
                <w:szCs w:val="21"/>
              </w:rPr>
            </w:pPr>
            <w:r>
              <w:rPr>
                <w:rFonts w:hint="eastAsia" w:ascii="宋体" w:hAnsi="宋体"/>
                <w:sz w:val="21"/>
                <w:szCs w:val="21"/>
              </w:rPr>
              <w:t>T 0317</w:t>
            </w:r>
          </w:p>
        </w:tc>
      </w:tr>
      <w:tr w14:paraId="043FBCC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6C077C9D">
            <w:pPr>
              <w:ind w:firstLine="0" w:firstLineChars="0"/>
              <w:rPr>
                <w:rFonts w:ascii="宋体" w:hAnsi="宋体"/>
                <w:sz w:val="21"/>
                <w:szCs w:val="21"/>
              </w:rPr>
            </w:pPr>
            <w:r>
              <w:rPr>
                <w:rFonts w:hint="eastAsia" w:ascii="宋体" w:hAnsi="宋体"/>
                <w:sz w:val="21"/>
                <w:szCs w:val="21"/>
              </w:rPr>
              <w:t>表观相对密度             不小于t/m³</w:t>
            </w:r>
          </w:p>
        </w:tc>
        <w:tc>
          <w:tcPr>
            <w:tcW w:w="1026" w:type="dxa"/>
            <w:shd w:val="clear" w:color="auto" w:fill="auto"/>
          </w:tcPr>
          <w:p w14:paraId="7644969B">
            <w:pPr>
              <w:ind w:firstLine="0" w:firstLineChars="0"/>
              <w:jc w:val="center"/>
              <w:rPr>
                <w:rFonts w:ascii="宋体" w:hAnsi="宋体"/>
                <w:sz w:val="21"/>
                <w:szCs w:val="21"/>
              </w:rPr>
            </w:pPr>
            <w:r>
              <w:rPr>
                <w:rFonts w:hint="eastAsia" w:ascii="宋体" w:hAnsi="宋体"/>
                <w:sz w:val="21"/>
                <w:szCs w:val="21"/>
              </w:rPr>
              <w:t>2.6</w:t>
            </w:r>
          </w:p>
        </w:tc>
        <w:tc>
          <w:tcPr>
            <w:tcW w:w="1236" w:type="dxa"/>
            <w:shd w:val="clear" w:color="auto" w:fill="auto"/>
          </w:tcPr>
          <w:p w14:paraId="4052B703">
            <w:pPr>
              <w:ind w:firstLine="0" w:firstLineChars="0"/>
              <w:jc w:val="center"/>
              <w:rPr>
                <w:rFonts w:ascii="宋体" w:hAnsi="宋体"/>
                <w:sz w:val="21"/>
                <w:szCs w:val="21"/>
              </w:rPr>
            </w:pPr>
            <w:r>
              <w:rPr>
                <w:rFonts w:hint="eastAsia" w:ascii="宋体" w:hAnsi="宋体"/>
                <w:sz w:val="21"/>
                <w:szCs w:val="21"/>
              </w:rPr>
              <w:t>2.5</w:t>
            </w:r>
          </w:p>
        </w:tc>
        <w:tc>
          <w:tcPr>
            <w:tcW w:w="2076" w:type="dxa"/>
            <w:shd w:val="clear" w:color="auto" w:fill="auto"/>
            <w:vAlign w:val="center"/>
          </w:tcPr>
          <w:p w14:paraId="4043CDEC">
            <w:pPr>
              <w:ind w:firstLine="0" w:firstLineChars="0"/>
              <w:jc w:val="center"/>
              <w:rPr>
                <w:rFonts w:ascii="宋体" w:hAnsi="宋体"/>
                <w:sz w:val="21"/>
                <w:szCs w:val="21"/>
              </w:rPr>
            </w:pPr>
            <w:r>
              <w:rPr>
                <w:rFonts w:hint="eastAsia" w:ascii="宋体" w:hAnsi="宋体"/>
                <w:sz w:val="21"/>
                <w:szCs w:val="21"/>
              </w:rPr>
              <w:t>T 0304</w:t>
            </w:r>
          </w:p>
        </w:tc>
      </w:tr>
      <w:tr w14:paraId="0204FAD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1C3A53FF">
            <w:pPr>
              <w:ind w:firstLine="0" w:firstLineChars="0"/>
              <w:rPr>
                <w:rFonts w:ascii="宋体" w:hAnsi="宋体"/>
                <w:sz w:val="21"/>
                <w:szCs w:val="21"/>
              </w:rPr>
            </w:pPr>
            <w:r>
              <w:rPr>
                <w:rFonts w:hint="eastAsia" w:ascii="宋体" w:hAnsi="宋体"/>
                <w:sz w:val="21"/>
                <w:szCs w:val="21"/>
              </w:rPr>
              <w:t>吸水率                      不大于％</w:t>
            </w:r>
          </w:p>
        </w:tc>
        <w:tc>
          <w:tcPr>
            <w:tcW w:w="1026" w:type="dxa"/>
            <w:shd w:val="clear" w:color="auto" w:fill="auto"/>
          </w:tcPr>
          <w:p w14:paraId="04B52379">
            <w:pPr>
              <w:ind w:firstLine="0" w:firstLineChars="0"/>
              <w:jc w:val="center"/>
              <w:rPr>
                <w:rFonts w:ascii="宋体" w:hAnsi="宋体"/>
                <w:sz w:val="21"/>
                <w:szCs w:val="21"/>
              </w:rPr>
            </w:pPr>
            <w:r>
              <w:rPr>
                <w:rFonts w:hint="eastAsia" w:ascii="宋体" w:hAnsi="宋体"/>
                <w:sz w:val="21"/>
                <w:szCs w:val="21"/>
              </w:rPr>
              <w:t>2.0</w:t>
            </w:r>
          </w:p>
        </w:tc>
        <w:tc>
          <w:tcPr>
            <w:tcW w:w="1236" w:type="dxa"/>
            <w:shd w:val="clear" w:color="auto" w:fill="auto"/>
          </w:tcPr>
          <w:p w14:paraId="341E9786">
            <w:pPr>
              <w:ind w:firstLine="0" w:firstLineChars="0"/>
              <w:jc w:val="center"/>
              <w:rPr>
                <w:rFonts w:ascii="宋体" w:hAnsi="宋体"/>
                <w:sz w:val="21"/>
                <w:szCs w:val="21"/>
              </w:rPr>
            </w:pPr>
            <w:r>
              <w:rPr>
                <w:rFonts w:hint="eastAsia" w:ascii="宋体" w:hAnsi="宋体"/>
                <w:sz w:val="21"/>
                <w:szCs w:val="21"/>
              </w:rPr>
              <w:t>3.0</w:t>
            </w:r>
          </w:p>
        </w:tc>
        <w:tc>
          <w:tcPr>
            <w:tcW w:w="2076" w:type="dxa"/>
            <w:shd w:val="clear" w:color="auto" w:fill="auto"/>
            <w:vAlign w:val="center"/>
          </w:tcPr>
          <w:p w14:paraId="14A7BCDC">
            <w:pPr>
              <w:ind w:firstLine="0" w:firstLineChars="0"/>
              <w:jc w:val="center"/>
              <w:rPr>
                <w:rFonts w:ascii="宋体" w:hAnsi="宋体"/>
                <w:sz w:val="21"/>
                <w:szCs w:val="21"/>
              </w:rPr>
            </w:pPr>
            <w:r>
              <w:rPr>
                <w:rFonts w:hint="eastAsia" w:ascii="宋体" w:hAnsi="宋体"/>
                <w:sz w:val="21"/>
                <w:szCs w:val="21"/>
              </w:rPr>
              <w:t>T 0304</w:t>
            </w:r>
          </w:p>
        </w:tc>
      </w:tr>
      <w:tr w14:paraId="2FCBC87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14180FC8">
            <w:pPr>
              <w:ind w:firstLine="0" w:firstLineChars="0"/>
              <w:rPr>
                <w:rFonts w:ascii="宋体" w:hAnsi="宋体"/>
                <w:sz w:val="21"/>
                <w:szCs w:val="21"/>
              </w:rPr>
            </w:pPr>
            <w:r>
              <w:rPr>
                <w:rFonts w:hint="eastAsia" w:ascii="宋体" w:hAnsi="宋体"/>
                <w:sz w:val="21"/>
                <w:szCs w:val="21"/>
              </w:rPr>
              <w:t>坚固性                      不大于％</w:t>
            </w:r>
          </w:p>
        </w:tc>
        <w:tc>
          <w:tcPr>
            <w:tcW w:w="1026" w:type="dxa"/>
            <w:shd w:val="clear" w:color="auto" w:fill="auto"/>
          </w:tcPr>
          <w:p w14:paraId="7A2220EE">
            <w:pPr>
              <w:ind w:firstLine="0" w:firstLineChars="0"/>
              <w:jc w:val="center"/>
              <w:rPr>
                <w:rFonts w:ascii="宋体" w:hAnsi="宋体"/>
                <w:sz w:val="21"/>
                <w:szCs w:val="21"/>
              </w:rPr>
            </w:pPr>
            <w:r>
              <w:rPr>
                <w:rFonts w:hint="eastAsia" w:ascii="宋体" w:hAnsi="宋体"/>
                <w:sz w:val="21"/>
                <w:szCs w:val="21"/>
              </w:rPr>
              <w:t>12</w:t>
            </w:r>
          </w:p>
        </w:tc>
        <w:tc>
          <w:tcPr>
            <w:tcW w:w="1236" w:type="dxa"/>
            <w:shd w:val="clear" w:color="auto" w:fill="auto"/>
          </w:tcPr>
          <w:p w14:paraId="0A5640ED">
            <w:pPr>
              <w:ind w:firstLine="0" w:firstLineChars="0"/>
              <w:jc w:val="center"/>
              <w:rPr>
                <w:rFonts w:ascii="宋体" w:hAnsi="宋体"/>
                <w:sz w:val="21"/>
                <w:szCs w:val="21"/>
              </w:rPr>
            </w:pPr>
            <w:r>
              <w:rPr>
                <w:rFonts w:hint="eastAsia" w:ascii="宋体" w:hAnsi="宋体"/>
                <w:sz w:val="21"/>
                <w:szCs w:val="21"/>
              </w:rPr>
              <w:t>12</w:t>
            </w:r>
          </w:p>
        </w:tc>
        <w:tc>
          <w:tcPr>
            <w:tcW w:w="2076" w:type="dxa"/>
            <w:shd w:val="clear" w:color="auto" w:fill="auto"/>
            <w:vAlign w:val="center"/>
          </w:tcPr>
          <w:p w14:paraId="2A057E52">
            <w:pPr>
              <w:ind w:firstLine="0" w:firstLineChars="0"/>
              <w:jc w:val="center"/>
              <w:rPr>
                <w:rFonts w:ascii="宋体" w:hAnsi="宋体"/>
                <w:sz w:val="21"/>
                <w:szCs w:val="21"/>
              </w:rPr>
            </w:pPr>
            <w:r>
              <w:rPr>
                <w:rFonts w:hint="eastAsia" w:ascii="宋体" w:hAnsi="宋体"/>
                <w:sz w:val="21"/>
                <w:szCs w:val="21"/>
              </w:rPr>
              <w:t>T 0314</w:t>
            </w:r>
          </w:p>
        </w:tc>
      </w:tr>
      <w:tr w14:paraId="3038031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37D53074">
            <w:pPr>
              <w:spacing w:line="288" w:lineRule="auto"/>
              <w:ind w:firstLine="0" w:firstLineChars="0"/>
              <w:rPr>
                <w:rFonts w:ascii="宋体" w:hAnsi="宋体"/>
                <w:sz w:val="21"/>
                <w:szCs w:val="21"/>
              </w:rPr>
            </w:pPr>
            <w:r>
              <w:rPr>
                <w:rFonts w:hint="eastAsia" w:ascii="宋体" w:hAnsi="宋体"/>
                <w:sz w:val="21"/>
                <w:szCs w:val="21"/>
              </w:rPr>
              <w:t>针片状颗粒含量（混合料） 不大于 %</w:t>
            </w:r>
          </w:p>
          <w:p w14:paraId="08B09BB9">
            <w:pPr>
              <w:spacing w:line="288" w:lineRule="auto"/>
              <w:ind w:firstLine="0" w:firstLineChars="0"/>
              <w:jc w:val="center"/>
              <w:rPr>
                <w:rFonts w:ascii="宋体" w:hAnsi="宋体"/>
                <w:sz w:val="21"/>
                <w:szCs w:val="21"/>
              </w:rPr>
            </w:pPr>
            <w:r>
              <w:rPr>
                <w:rFonts w:hint="eastAsia" w:ascii="宋体" w:hAnsi="宋体"/>
                <w:sz w:val="21"/>
                <w:szCs w:val="21"/>
              </w:rPr>
              <w:t>其中粒径大于9.5mm 不大于 %</w:t>
            </w:r>
          </w:p>
          <w:p w14:paraId="7A52C9EA">
            <w:pPr>
              <w:spacing w:line="288" w:lineRule="auto"/>
              <w:ind w:firstLine="0" w:firstLineChars="0"/>
              <w:jc w:val="center"/>
              <w:rPr>
                <w:rFonts w:ascii="宋体" w:hAnsi="宋体"/>
                <w:sz w:val="21"/>
                <w:szCs w:val="21"/>
              </w:rPr>
            </w:pPr>
            <w:r>
              <w:rPr>
                <w:rFonts w:hint="eastAsia" w:ascii="宋体" w:hAnsi="宋体"/>
                <w:sz w:val="21"/>
                <w:szCs w:val="21"/>
              </w:rPr>
              <w:t>其中粒径小于9.5mm 不大于 %</w:t>
            </w:r>
          </w:p>
        </w:tc>
        <w:tc>
          <w:tcPr>
            <w:tcW w:w="1026" w:type="dxa"/>
            <w:shd w:val="clear" w:color="auto" w:fill="auto"/>
          </w:tcPr>
          <w:p w14:paraId="551921AC">
            <w:pPr>
              <w:spacing w:line="288" w:lineRule="auto"/>
              <w:ind w:firstLine="0" w:firstLineChars="0"/>
              <w:jc w:val="center"/>
              <w:rPr>
                <w:rFonts w:ascii="宋体" w:hAnsi="宋体"/>
                <w:sz w:val="21"/>
                <w:szCs w:val="21"/>
              </w:rPr>
            </w:pPr>
            <w:r>
              <w:rPr>
                <w:rFonts w:hint="eastAsia" w:ascii="宋体" w:hAnsi="宋体"/>
                <w:sz w:val="21"/>
                <w:szCs w:val="21"/>
              </w:rPr>
              <w:t>15</w:t>
            </w:r>
          </w:p>
          <w:p w14:paraId="402DB381">
            <w:pPr>
              <w:spacing w:line="288" w:lineRule="auto"/>
              <w:ind w:firstLine="0" w:firstLineChars="0"/>
              <w:jc w:val="center"/>
              <w:rPr>
                <w:rFonts w:ascii="宋体" w:hAnsi="宋体"/>
                <w:sz w:val="21"/>
                <w:szCs w:val="21"/>
              </w:rPr>
            </w:pPr>
            <w:r>
              <w:rPr>
                <w:rFonts w:hint="eastAsia" w:ascii="宋体" w:hAnsi="宋体"/>
                <w:sz w:val="21"/>
                <w:szCs w:val="21"/>
              </w:rPr>
              <w:t>12</w:t>
            </w:r>
          </w:p>
          <w:p w14:paraId="344C248B">
            <w:pPr>
              <w:spacing w:line="288" w:lineRule="auto"/>
              <w:ind w:firstLine="0" w:firstLineChars="0"/>
              <w:jc w:val="center"/>
              <w:rPr>
                <w:rFonts w:ascii="宋体" w:hAnsi="宋体"/>
                <w:sz w:val="21"/>
                <w:szCs w:val="21"/>
              </w:rPr>
            </w:pPr>
            <w:r>
              <w:rPr>
                <w:rFonts w:hint="eastAsia" w:ascii="宋体" w:hAnsi="宋体"/>
                <w:sz w:val="21"/>
                <w:szCs w:val="21"/>
              </w:rPr>
              <w:t>18</w:t>
            </w:r>
          </w:p>
        </w:tc>
        <w:tc>
          <w:tcPr>
            <w:tcW w:w="1236" w:type="dxa"/>
            <w:shd w:val="clear" w:color="auto" w:fill="auto"/>
          </w:tcPr>
          <w:p w14:paraId="6822C9AD">
            <w:pPr>
              <w:spacing w:line="288" w:lineRule="auto"/>
              <w:ind w:firstLine="0" w:firstLineChars="0"/>
              <w:jc w:val="center"/>
              <w:rPr>
                <w:rFonts w:ascii="宋体" w:hAnsi="宋体"/>
                <w:sz w:val="21"/>
                <w:szCs w:val="21"/>
              </w:rPr>
            </w:pPr>
            <w:r>
              <w:rPr>
                <w:rFonts w:hint="eastAsia" w:ascii="宋体" w:hAnsi="宋体"/>
                <w:sz w:val="21"/>
                <w:szCs w:val="21"/>
              </w:rPr>
              <w:t>18</w:t>
            </w:r>
          </w:p>
          <w:p w14:paraId="199FE23E">
            <w:pPr>
              <w:spacing w:line="288" w:lineRule="auto"/>
              <w:ind w:firstLine="0" w:firstLineChars="0"/>
              <w:jc w:val="center"/>
              <w:rPr>
                <w:rFonts w:ascii="宋体" w:hAnsi="宋体"/>
                <w:sz w:val="21"/>
                <w:szCs w:val="21"/>
              </w:rPr>
            </w:pPr>
            <w:r>
              <w:rPr>
                <w:rFonts w:hint="eastAsia" w:ascii="宋体" w:hAnsi="宋体"/>
                <w:sz w:val="21"/>
                <w:szCs w:val="21"/>
              </w:rPr>
              <w:t>15</w:t>
            </w:r>
          </w:p>
          <w:p w14:paraId="25B729AF">
            <w:pPr>
              <w:spacing w:line="288" w:lineRule="auto"/>
              <w:ind w:firstLine="0" w:firstLineChars="0"/>
              <w:jc w:val="center"/>
              <w:rPr>
                <w:rFonts w:ascii="宋体" w:hAnsi="宋体"/>
                <w:sz w:val="21"/>
                <w:szCs w:val="21"/>
              </w:rPr>
            </w:pPr>
            <w:r>
              <w:rPr>
                <w:rFonts w:hint="eastAsia" w:ascii="宋体" w:hAnsi="宋体"/>
                <w:sz w:val="21"/>
                <w:szCs w:val="21"/>
              </w:rPr>
              <w:t>20</w:t>
            </w:r>
          </w:p>
        </w:tc>
        <w:tc>
          <w:tcPr>
            <w:tcW w:w="2076" w:type="dxa"/>
            <w:shd w:val="clear" w:color="auto" w:fill="auto"/>
            <w:vAlign w:val="center"/>
          </w:tcPr>
          <w:p w14:paraId="7EC6EB26">
            <w:pPr>
              <w:spacing w:line="288" w:lineRule="auto"/>
              <w:ind w:firstLine="0" w:firstLineChars="0"/>
              <w:jc w:val="center"/>
              <w:rPr>
                <w:rFonts w:ascii="宋体" w:hAnsi="宋体"/>
                <w:sz w:val="21"/>
                <w:szCs w:val="21"/>
              </w:rPr>
            </w:pPr>
            <w:r>
              <w:rPr>
                <w:rFonts w:hint="eastAsia" w:ascii="宋体" w:hAnsi="宋体"/>
                <w:sz w:val="21"/>
                <w:szCs w:val="21"/>
              </w:rPr>
              <w:t>T 0312</w:t>
            </w:r>
          </w:p>
        </w:tc>
      </w:tr>
      <w:tr w14:paraId="2B7166A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6FDAA386">
            <w:pPr>
              <w:ind w:firstLine="0" w:firstLineChars="0"/>
              <w:rPr>
                <w:rFonts w:ascii="宋体" w:hAnsi="宋体"/>
                <w:sz w:val="21"/>
                <w:szCs w:val="21"/>
              </w:rPr>
            </w:pPr>
            <w:r>
              <w:rPr>
                <w:rFonts w:hint="eastAsia" w:ascii="宋体" w:hAnsi="宋体"/>
                <w:sz w:val="21"/>
                <w:szCs w:val="21"/>
              </w:rPr>
              <w:t>水洗法&lt;0.075mm颗粒含量      不大于％</w:t>
            </w:r>
          </w:p>
        </w:tc>
        <w:tc>
          <w:tcPr>
            <w:tcW w:w="1026" w:type="dxa"/>
            <w:shd w:val="clear" w:color="auto" w:fill="auto"/>
          </w:tcPr>
          <w:p w14:paraId="31C051A7">
            <w:pPr>
              <w:ind w:firstLine="0" w:firstLineChars="0"/>
              <w:jc w:val="center"/>
              <w:rPr>
                <w:rFonts w:ascii="宋体" w:hAnsi="宋体"/>
                <w:sz w:val="21"/>
                <w:szCs w:val="21"/>
              </w:rPr>
            </w:pPr>
            <w:r>
              <w:rPr>
                <w:rFonts w:hint="eastAsia" w:ascii="宋体" w:hAnsi="宋体"/>
                <w:sz w:val="21"/>
                <w:szCs w:val="21"/>
              </w:rPr>
              <w:t>1</w:t>
            </w:r>
          </w:p>
        </w:tc>
        <w:tc>
          <w:tcPr>
            <w:tcW w:w="1236" w:type="dxa"/>
            <w:shd w:val="clear" w:color="auto" w:fill="auto"/>
          </w:tcPr>
          <w:p w14:paraId="3A0944D1">
            <w:pPr>
              <w:ind w:firstLine="0" w:firstLineChars="0"/>
              <w:jc w:val="center"/>
              <w:rPr>
                <w:rFonts w:ascii="宋体" w:hAnsi="宋体"/>
                <w:sz w:val="21"/>
                <w:szCs w:val="21"/>
              </w:rPr>
            </w:pPr>
            <w:r>
              <w:rPr>
                <w:rFonts w:hint="eastAsia" w:ascii="宋体" w:hAnsi="宋体"/>
                <w:sz w:val="21"/>
                <w:szCs w:val="21"/>
              </w:rPr>
              <w:t>1</w:t>
            </w:r>
          </w:p>
        </w:tc>
        <w:tc>
          <w:tcPr>
            <w:tcW w:w="2076" w:type="dxa"/>
            <w:shd w:val="clear" w:color="auto" w:fill="auto"/>
            <w:vAlign w:val="center"/>
          </w:tcPr>
          <w:p w14:paraId="10A1D4E7">
            <w:pPr>
              <w:ind w:firstLine="0" w:firstLineChars="0"/>
              <w:jc w:val="center"/>
              <w:rPr>
                <w:rFonts w:ascii="宋体" w:hAnsi="宋体"/>
                <w:sz w:val="21"/>
                <w:szCs w:val="21"/>
              </w:rPr>
            </w:pPr>
            <w:r>
              <w:rPr>
                <w:rFonts w:hint="eastAsia" w:ascii="宋体" w:hAnsi="宋体"/>
                <w:sz w:val="21"/>
                <w:szCs w:val="21"/>
              </w:rPr>
              <w:t>T 0310</w:t>
            </w:r>
          </w:p>
        </w:tc>
      </w:tr>
      <w:tr w14:paraId="0B844BF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387AF79E">
            <w:pPr>
              <w:ind w:firstLine="0" w:firstLineChars="0"/>
              <w:rPr>
                <w:rFonts w:ascii="宋体" w:hAnsi="宋体"/>
                <w:sz w:val="21"/>
                <w:szCs w:val="21"/>
              </w:rPr>
            </w:pPr>
            <w:r>
              <w:rPr>
                <w:rFonts w:hint="eastAsia" w:ascii="宋体" w:hAnsi="宋体"/>
                <w:sz w:val="21"/>
                <w:szCs w:val="21"/>
              </w:rPr>
              <w:t>软石含量                     不大于％</w:t>
            </w:r>
          </w:p>
        </w:tc>
        <w:tc>
          <w:tcPr>
            <w:tcW w:w="1026" w:type="dxa"/>
            <w:shd w:val="clear" w:color="auto" w:fill="auto"/>
          </w:tcPr>
          <w:p w14:paraId="607A4D07">
            <w:pPr>
              <w:ind w:firstLine="0" w:firstLineChars="0"/>
              <w:jc w:val="center"/>
              <w:rPr>
                <w:rFonts w:ascii="宋体" w:hAnsi="宋体"/>
                <w:sz w:val="21"/>
                <w:szCs w:val="21"/>
              </w:rPr>
            </w:pPr>
            <w:r>
              <w:rPr>
                <w:rFonts w:hint="eastAsia" w:ascii="宋体" w:hAnsi="宋体"/>
                <w:sz w:val="21"/>
                <w:szCs w:val="21"/>
              </w:rPr>
              <w:t>3</w:t>
            </w:r>
          </w:p>
        </w:tc>
        <w:tc>
          <w:tcPr>
            <w:tcW w:w="1236" w:type="dxa"/>
            <w:shd w:val="clear" w:color="auto" w:fill="auto"/>
          </w:tcPr>
          <w:p w14:paraId="4EE9DD35">
            <w:pPr>
              <w:ind w:firstLine="0" w:firstLineChars="0"/>
              <w:jc w:val="center"/>
              <w:rPr>
                <w:rFonts w:ascii="宋体" w:hAnsi="宋体"/>
                <w:sz w:val="21"/>
                <w:szCs w:val="21"/>
              </w:rPr>
            </w:pPr>
            <w:r>
              <w:rPr>
                <w:rFonts w:hint="eastAsia" w:ascii="宋体" w:hAnsi="宋体"/>
                <w:sz w:val="21"/>
                <w:szCs w:val="21"/>
              </w:rPr>
              <w:t>5</w:t>
            </w:r>
          </w:p>
        </w:tc>
        <w:tc>
          <w:tcPr>
            <w:tcW w:w="2076" w:type="dxa"/>
            <w:shd w:val="clear" w:color="auto" w:fill="auto"/>
            <w:vAlign w:val="center"/>
          </w:tcPr>
          <w:p w14:paraId="7CD82805">
            <w:pPr>
              <w:ind w:firstLine="0" w:firstLineChars="0"/>
              <w:jc w:val="center"/>
              <w:rPr>
                <w:rFonts w:ascii="宋体" w:hAnsi="宋体"/>
                <w:sz w:val="21"/>
                <w:szCs w:val="21"/>
              </w:rPr>
            </w:pPr>
            <w:r>
              <w:rPr>
                <w:rFonts w:hint="eastAsia" w:ascii="宋体" w:hAnsi="宋体"/>
                <w:sz w:val="21"/>
                <w:szCs w:val="21"/>
              </w:rPr>
              <w:t>T 0320</w:t>
            </w:r>
          </w:p>
        </w:tc>
      </w:tr>
      <w:tr w14:paraId="3DD4FB7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6D6412A2">
            <w:pPr>
              <w:ind w:firstLine="0" w:firstLineChars="0"/>
              <w:rPr>
                <w:rFonts w:ascii="宋体" w:hAnsi="宋体"/>
                <w:sz w:val="21"/>
                <w:szCs w:val="21"/>
              </w:rPr>
            </w:pPr>
            <w:r>
              <w:rPr>
                <w:rFonts w:hint="eastAsia" w:ascii="宋体" w:hAnsi="宋体"/>
                <w:sz w:val="21"/>
                <w:szCs w:val="21"/>
              </w:rPr>
              <w:t>石料磨光值                不小于BPN</w:t>
            </w:r>
          </w:p>
        </w:tc>
        <w:tc>
          <w:tcPr>
            <w:tcW w:w="1026" w:type="dxa"/>
            <w:shd w:val="clear" w:color="auto" w:fill="auto"/>
          </w:tcPr>
          <w:p w14:paraId="332BB602">
            <w:pPr>
              <w:ind w:firstLine="0" w:firstLineChars="0"/>
              <w:jc w:val="center"/>
              <w:rPr>
                <w:rFonts w:ascii="宋体" w:hAnsi="宋体"/>
                <w:sz w:val="21"/>
                <w:szCs w:val="21"/>
              </w:rPr>
            </w:pPr>
            <w:r>
              <w:rPr>
                <w:rFonts w:hint="eastAsia" w:ascii="宋体" w:hAnsi="宋体"/>
                <w:sz w:val="21"/>
                <w:szCs w:val="21"/>
              </w:rPr>
              <w:t>38</w:t>
            </w:r>
          </w:p>
        </w:tc>
        <w:tc>
          <w:tcPr>
            <w:tcW w:w="1236" w:type="dxa"/>
            <w:shd w:val="clear" w:color="auto" w:fill="auto"/>
          </w:tcPr>
          <w:p w14:paraId="2EF22698">
            <w:pPr>
              <w:ind w:firstLine="0" w:firstLineChars="0"/>
              <w:jc w:val="center"/>
              <w:rPr>
                <w:rFonts w:ascii="宋体" w:hAnsi="宋体"/>
                <w:sz w:val="21"/>
                <w:szCs w:val="21"/>
              </w:rPr>
            </w:pPr>
            <w:r>
              <w:rPr>
                <w:rFonts w:hint="eastAsia" w:ascii="宋体" w:hAnsi="宋体"/>
                <w:sz w:val="21"/>
                <w:szCs w:val="21"/>
              </w:rPr>
              <w:t>38</w:t>
            </w:r>
          </w:p>
        </w:tc>
        <w:tc>
          <w:tcPr>
            <w:tcW w:w="2076" w:type="dxa"/>
            <w:shd w:val="clear" w:color="auto" w:fill="auto"/>
          </w:tcPr>
          <w:p w14:paraId="1ABF7415">
            <w:pPr>
              <w:ind w:firstLine="0" w:firstLineChars="0"/>
              <w:jc w:val="center"/>
              <w:rPr>
                <w:rFonts w:ascii="宋体" w:hAnsi="宋体"/>
                <w:sz w:val="21"/>
                <w:szCs w:val="21"/>
              </w:rPr>
            </w:pPr>
            <w:r>
              <w:rPr>
                <w:rFonts w:hint="eastAsia" w:ascii="宋体" w:hAnsi="宋体"/>
                <w:sz w:val="21"/>
                <w:szCs w:val="21"/>
              </w:rPr>
              <w:t>T 0321</w:t>
            </w:r>
          </w:p>
        </w:tc>
      </w:tr>
      <w:tr w14:paraId="2FFA5B0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2EBF8954">
            <w:pPr>
              <w:ind w:firstLine="0" w:firstLineChars="0"/>
              <w:rPr>
                <w:rFonts w:ascii="宋体" w:hAnsi="宋体"/>
                <w:sz w:val="21"/>
                <w:szCs w:val="21"/>
              </w:rPr>
            </w:pPr>
            <w:r>
              <w:rPr>
                <w:rFonts w:hint="eastAsia" w:ascii="宋体" w:hAnsi="宋体"/>
                <w:sz w:val="21"/>
                <w:szCs w:val="21"/>
              </w:rPr>
              <w:t>具有一个破碎面的颗粒         不大于％</w:t>
            </w:r>
          </w:p>
        </w:tc>
        <w:tc>
          <w:tcPr>
            <w:tcW w:w="1026" w:type="dxa"/>
            <w:shd w:val="clear" w:color="auto" w:fill="auto"/>
          </w:tcPr>
          <w:p w14:paraId="05041C7B">
            <w:pPr>
              <w:ind w:firstLine="0" w:firstLineChars="0"/>
              <w:jc w:val="center"/>
              <w:rPr>
                <w:rFonts w:ascii="宋体" w:hAnsi="宋体"/>
                <w:sz w:val="21"/>
                <w:szCs w:val="21"/>
              </w:rPr>
            </w:pPr>
            <w:r>
              <w:rPr>
                <w:rFonts w:hint="eastAsia" w:ascii="宋体" w:hAnsi="宋体"/>
                <w:sz w:val="21"/>
                <w:szCs w:val="21"/>
              </w:rPr>
              <w:t>100</w:t>
            </w:r>
          </w:p>
        </w:tc>
        <w:tc>
          <w:tcPr>
            <w:tcW w:w="1236" w:type="dxa"/>
            <w:shd w:val="clear" w:color="auto" w:fill="auto"/>
          </w:tcPr>
          <w:p w14:paraId="09C560AC">
            <w:pPr>
              <w:ind w:firstLine="0" w:firstLineChars="0"/>
              <w:jc w:val="center"/>
              <w:rPr>
                <w:rFonts w:ascii="宋体" w:hAnsi="宋体"/>
                <w:sz w:val="21"/>
                <w:szCs w:val="21"/>
              </w:rPr>
            </w:pPr>
            <w:r>
              <w:rPr>
                <w:rFonts w:hint="eastAsia" w:ascii="宋体" w:hAnsi="宋体"/>
                <w:sz w:val="21"/>
                <w:szCs w:val="21"/>
              </w:rPr>
              <w:t>90</w:t>
            </w:r>
          </w:p>
        </w:tc>
        <w:tc>
          <w:tcPr>
            <w:tcW w:w="2076" w:type="dxa"/>
            <w:vMerge w:val="restart"/>
            <w:shd w:val="clear" w:color="auto" w:fill="auto"/>
            <w:vAlign w:val="center"/>
          </w:tcPr>
          <w:p w14:paraId="741A4C9F">
            <w:pPr>
              <w:ind w:firstLine="0" w:firstLineChars="0"/>
              <w:jc w:val="center"/>
              <w:rPr>
                <w:rFonts w:ascii="宋体" w:hAnsi="宋体"/>
                <w:sz w:val="21"/>
                <w:szCs w:val="21"/>
              </w:rPr>
            </w:pPr>
            <w:r>
              <w:rPr>
                <w:rFonts w:hint="eastAsia" w:ascii="宋体" w:hAnsi="宋体"/>
                <w:sz w:val="21"/>
                <w:szCs w:val="21"/>
              </w:rPr>
              <w:t>T 0346</w:t>
            </w:r>
          </w:p>
        </w:tc>
      </w:tr>
      <w:tr w14:paraId="1BDE15C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tcPr>
          <w:p w14:paraId="32842C7C">
            <w:pPr>
              <w:autoSpaceDE w:val="0"/>
              <w:autoSpaceDN w:val="0"/>
              <w:adjustRightInd w:val="0"/>
              <w:spacing w:line="400" w:lineRule="exact"/>
              <w:ind w:firstLine="0" w:firstLineChars="0"/>
              <w:rPr>
                <w:rFonts w:ascii="宋体" w:hAnsi="宋体" w:cs="宋体"/>
                <w:kern w:val="0"/>
                <w:sz w:val="21"/>
                <w:szCs w:val="21"/>
              </w:rPr>
            </w:pPr>
            <w:r>
              <w:rPr>
                <w:rFonts w:hint="eastAsia" w:ascii="宋体" w:hAnsi="宋体" w:cs="宋体"/>
                <w:kern w:val="0"/>
                <w:sz w:val="21"/>
                <w:szCs w:val="21"/>
              </w:rPr>
              <w:t>具有两个或两个以上的破碎面的颗粒  不大于％</w:t>
            </w:r>
          </w:p>
        </w:tc>
        <w:tc>
          <w:tcPr>
            <w:tcW w:w="1026" w:type="dxa"/>
            <w:shd w:val="clear" w:color="auto" w:fill="auto"/>
          </w:tcPr>
          <w:p w14:paraId="13AB6951">
            <w:pPr>
              <w:autoSpaceDE w:val="0"/>
              <w:autoSpaceDN w:val="0"/>
              <w:adjustRightInd w:val="0"/>
              <w:spacing w:line="400" w:lineRule="exact"/>
              <w:ind w:firstLine="0" w:firstLineChars="0"/>
              <w:jc w:val="center"/>
              <w:rPr>
                <w:rFonts w:ascii="宋体" w:hAnsi="宋体" w:cs="宋体"/>
                <w:kern w:val="0"/>
                <w:sz w:val="21"/>
                <w:szCs w:val="21"/>
              </w:rPr>
            </w:pPr>
            <w:r>
              <w:rPr>
                <w:rFonts w:hint="eastAsia" w:ascii="宋体" w:hAnsi="宋体" w:cs="宋体"/>
                <w:kern w:val="0"/>
                <w:sz w:val="21"/>
                <w:szCs w:val="21"/>
              </w:rPr>
              <w:t>90</w:t>
            </w:r>
          </w:p>
        </w:tc>
        <w:tc>
          <w:tcPr>
            <w:tcW w:w="1236" w:type="dxa"/>
            <w:shd w:val="clear" w:color="auto" w:fill="auto"/>
          </w:tcPr>
          <w:p w14:paraId="31F3FADB">
            <w:pPr>
              <w:autoSpaceDE w:val="0"/>
              <w:autoSpaceDN w:val="0"/>
              <w:adjustRightInd w:val="0"/>
              <w:spacing w:line="400" w:lineRule="exact"/>
              <w:ind w:firstLine="0" w:firstLineChars="0"/>
              <w:jc w:val="center"/>
              <w:rPr>
                <w:rFonts w:ascii="宋体" w:hAnsi="宋体" w:cs="宋体"/>
                <w:kern w:val="0"/>
                <w:sz w:val="21"/>
                <w:szCs w:val="21"/>
              </w:rPr>
            </w:pPr>
            <w:r>
              <w:rPr>
                <w:rFonts w:hint="eastAsia" w:ascii="宋体" w:hAnsi="宋体" w:cs="宋体"/>
                <w:kern w:val="0"/>
                <w:sz w:val="21"/>
                <w:szCs w:val="21"/>
              </w:rPr>
              <w:t>80</w:t>
            </w:r>
          </w:p>
        </w:tc>
        <w:tc>
          <w:tcPr>
            <w:tcW w:w="2076" w:type="dxa"/>
            <w:vMerge w:val="continue"/>
            <w:shd w:val="clear" w:color="auto" w:fill="auto"/>
          </w:tcPr>
          <w:p w14:paraId="77EB6066">
            <w:pPr>
              <w:autoSpaceDE w:val="0"/>
              <w:autoSpaceDN w:val="0"/>
              <w:adjustRightInd w:val="0"/>
              <w:spacing w:line="400" w:lineRule="exact"/>
              <w:ind w:firstLine="0" w:firstLineChars="0"/>
              <w:jc w:val="center"/>
              <w:rPr>
                <w:rFonts w:ascii="宋体" w:hAnsi="宋体" w:cs="宋体"/>
                <w:kern w:val="0"/>
                <w:sz w:val="21"/>
                <w:szCs w:val="21"/>
              </w:rPr>
            </w:pPr>
          </w:p>
        </w:tc>
      </w:tr>
      <w:tr w14:paraId="34A7CA7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4680" w:type="dxa"/>
            <w:shd w:val="clear" w:color="auto" w:fill="auto"/>
            <w:vAlign w:val="center"/>
          </w:tcPr>
          <w:p w14:paraId="31F63C59">
            <w:pPr>
              <w:ind w:firstLine="0" w:firstLineChars="0"/>
              <w:rPr>
                <w:rFonts w:ascii="宋体" w:hAnsi="宋体"/>
                <w:sz w:val="21"/>
                <w:szCs w:val="21"/>
              </w:rPr>
            </w:pPr>
            <w:r>
              <w:rPr>
                <w:rFonts w:hint="eastAsia" w:ascii="宋体" w:hAnsi="宋体"/>
                <w:sz w:val="21"/>
                <w:szCs w:val="21"/>
              </w:rPr>
              <w:t>对沥青的粘附性                不小于</w:t>
            </w:r>
          </w:p>
        </w:tc>
        <w:tc>
          <w:tcPr>
            <w:tcW w:w="1026" w:type="dxa"/>
            <w:shd w:val="clear" w:color="auto" w:fill="auto"/>
            <w:vAlign w:val="center"/>
          </w:tcPr>
          <w:p w14:paraId="4E75FFFE">
            <w:pPr>
              <w:ind w:firstLine="0" w:firstLineChars="0"/>
              <w:jc w:val="center"/>
              <w:rPr>
                <w:rFonts w:ascii="宋体" w:hAnsi="宋体"/>
                <w:sz w:val="21"/>
                <w:szCs w:val="21"/>
              </w:rPr>
            </w:pPr>
            <w:r>
              <w:rPr>
                <w:rFonts w:hint="eastAsia" w:ascii="宋体" w:hAnsi="宋体"/>
                <w:sz w:val="21"/>
                <w:szCs w:val="21"/>
              </w:rPr>
              <w:t>5级</w:t>
            </w:r>
          </w:p>
        </w:tc>
        <w:tc>
          <w:tcPr>
            <w:tcW w:w="1236" w:type="dxa"/>
            <w:shd w:val="clear" w:color="auto" w:fill="auto"/>
            <w:vAlign w:val="center"/>
          </w:tcPr>
          <w:p w14:paraId="1FEA8F10">
            <w:pPr>
              <w:ind w:firstLine="0" w:firstLineChars="0"/>
              <w:jc w:val="center"/>
              <w:rPr>
                <w:rFonts w:ascii="宋体" w:hAnsi="宋体"/>
                <w:sz w:val="21"/>
                <w:szCs w:val="21"/>
              </w:rPr>
            </w:pPr>
            <w:r>
              <w:rPr>
                <w:rFonts w:hint="eastAsia" w:ascii="宋体" w:hAnsi="宋体"/>
                <w:sz w:val="21"/>
                <w:szCs w:val="21"/>
              </w:rPr>
              <w:t>4级</w:t>
            </w:r>
          </w:p>
        </w:tc>
        <w:tc>
          <w:tcPr>
            <w:tcW w:w="2076" w:type="dxa"/>
            <w:shd w:val="clear" w:color="auto" w:fill="auto"/>
          </w:tcPr>
          <w:p w14:paraId="047F1FD9">
            <w:pPr>
              <w:autoSpaceDE w:val="0"/>
              <w:autoSpaceDN w:val="0"/>
              <w:adjustRightInd w:val="0"/>
              <w:spacing w:line="400" w:lineRule="exact"/>
              <w:ind w:firstLine="0" w:firstLineChars="0"/>
              <w:jc w:val="center"/>
              <w:rPr>
                <w:rFonts w:ascii="宋体" w:hAnsi="宋体"/>
                <w:sz w:val="21"/>
                <w:szCs w:val="21"/>
              </w:rPr>
            </w:pPr>
            <w:r>
              <w:rPr>
                <w:rFonts w:hint="eastAsia" w:ascii="宋体" w:hAnsi="宋体"/>
                <w:sz w:val="21"/>
                <w:szCs w:val="21"/>
              </w:rPr>
              <w:t>T 0616（表层）</w:t>
            </w:r>
          </w:p>
          <w:p w14:paraId="1BF582CE">
            <w:pPr>
              <w:autoSpaceDE w:val="0"/>
              <w:autoSpaceDN w:val="0"/>
              <w:adjustRightInd w:val="0"/>
              <w:spacing w:line="400" w:lineRule="exact"/>
              <w:ind w:firstLine="0" w:firstLineChars="0"/>
              <w:jc w:val="center"/>
              <w:rPr>
                <w:rFonts w:ascii="宋体" w:hAnsi="宋体" w:cs="宋体"/>
                <w:kern w:val="0"/>
                <w:sz w:val="21"/>
                <w:szCs w:val="21"/>
              </w:rPr>
            </w:pPr>
            <w:r>
              <w:rPr>
                <w:rFonts w:hint="eastAsia" w:ascii="宋体" w:hAnsi="宋体"/>
                <w:sz w:val="21"/>
                <w:szCs w:val="21"/>
              </w:rPr>
              <w:t>T 0663（其他层）</w:t>
            </w:r>
          </w:p>
        </w:tc>
      </w:tr>
    </w:tbl>
    <w:p w14:paraId="240E0DF8">
      <w:pPr>
        <w:pStyle w:val="180"/>
        <w:ind w:firstLine="360"/>
        <w:rPr>
          <w:rFonts w:eastAsia="宋体"/>
          <w:kern w:val="0"/>
          <w:sz w:val="22"/>
          <w:szCs w:val="22"/>
        </w:rPr>
      </w:pPr>
      <w:r>
        <w:rPr>
          <w:rFonts w:hint="eastAsia" w:eastAsia="宋体"/>
          <w:kern w:val="0"/>
          <w:sz w:val="22"/>
          <w:szCs w:val="22"/>
        </w:rPr>
        <w:t>注:坚固性试验可根据需要进行。</w:t>
      </w:r>
    </w:p>
    <w:p w14:paraId="4A3AB06B">
      <w:pPr>
        <w:pStyle w:val="180"/>
        <w:ind w:firstLine="360"/>
        <w:rPr>
          <w:rFonts w:eastAsia="宋体"/>
          <w:kern w:val="0"/>
          <w:sz w:val="22"/>
          <w:szCs w:val="22"/>
          <w:lang w:val="zh-CN"/>
        </w:rPr>
      </w:pPr>
      <w:r>
        <w:rPr>
          <w:rFonts w:hint="eastAsia" w:eastAsia="宋体"/>
          <w:kern w:val="0"/>
          <w:sz w:val="22"/>
          <w:szCs w:val="22"/>
          <w:lang w:val="zh-CN"/>
        </w:rPr>
        <w:t>集料的粒径规格应满足《公路沥青路面施工技术规范》(JTG F40--2004)表4.8.3的要求。</w:t>
      </w:r>
    </w:p>
    <w:p w14:paraId="488EE418">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7</w:t>
      </w:r>
      <w:r>
        <w:rPr>
          <w:rFonts w:hint="eastAsia" w:ascii="宋体" w:hAnsi="宋体"/>
          <w:color w:val="000000"/>
          <w:szCs w:val="24"/>
        </w:rPr>
        <w:t>）细集料</w:t>
      </w:r>
    </w:p>
    <w:p w14:paraId="2CD143C9">
      <w:pPr>
        <w:pStyle w:val="180"/>
        <w:ind w:firstLine="560"/>
        <w:rPr>
          <w:rFonts w:eastAsia="宋体"/>
          <w:color w:val="000000"/>
          <w:szCs w:val="24"/>
        </w:rPr>
      </w:pPr>
      <w:r>
        <w:rPr>
          <w:rFonts w:hint="eastAsia" w:eastAsia="宋体"/>
          <w:color w:val="000000"/>
          <w:szCs w:val="24"/>
        </w:rPr>
        <w:t>沥青混合料宜采用人工砂（机制砂）作为细集料。细集料的质量技术要求应满足《公路沥青路面施工技术规范》(JTG F40--2004)的要求。</w:t>
      </w:r>
    </w:p>
    <w:p w14:paraId="73225267">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沥青面层用细集料质量技术要求</w:t>
      </w:r>
    </w:p>
    <w:tbl>
      <w:tblPr>
        <w:tblStyle w:val="88"/>
        <w:tblW w:w="4529"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259"/>
        <w:gridCol w:w="785"/>
        <w:gridCol w:w="2063"/>
        <w:gridCol w:w="1856"/>
      </w:tblGrid>
      <w:tr w14:paraId="67E2569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06C03833">
            <w:pPr>
              <w:ind w:firstLine="0" w:firstLineChars="0"/>
              <w:jc w:val="center"/>
              <w:rPr>
                <w:rFonts w:ascii="宋体" w:hAnsi="宋体"/>
                <w:sz w:val="21"/>
                <w:szCs w:val="21"/>
              </w:rPr>
            </w:pPr>
            <w:r>
              <w:rPr>
                <w:rFonts w:hint="eastAsia" w:ascii="宋体" w:hAnsi="宋体"/>
                <w:sz w:val="21"/>
                <w:szCs w:val="21"/>
              </w:rPr>
              <w:t>试验项目</w:t>
            </w:r>
          </w:p>
        </w:tc>
        <w:tc>
          <w:tcPr>
            <w:tcW w:w="438" w:type="pct"/>
            <w:vAlign w:val="center"/>
          </w:tcPr>
          <w:p w14:paraId="1738BCE5">
            <w:pPr>
              <w:ind w:firstLine="0" w:firstLineChars="0"/>
              <w:jc w:val="center"/>
              <w:rPr>
                <w:rFonts w:ascii="宋体" w:hAnsi="宋体"/>
                <w:sz w:val="21"/>
                <w:szCs w:val="21"/>
              </w:rPr>
            </w:pPr>
            <w:r>
              <w:rPr>
                <w:rFonts w:hint="eastAsia" w:ascii="宋体" w:hAnsi="宋体"/>
                <w:sz w:val="21"/>
                <w:szCs w:val="21"/>
              </w:rPr>
              <w:t>单位</w:t>
            </w:r>
          </w:p>
        </w:tc>
        <w:tc>
          <w:tcPr>
            <w:tcW w:w="1151" w:type="pct"/>
            <w:vAlign w:val="center"/>
          </w:tcPr>
          <w:p w14:paraId="76B351CA">
            <w:pPr>
              <w:ind w:firstLine="0" w:firstLineChars="0"/>
              <w:jc w:val="center"/>
              <w:rPr>
                <w:rFonts w:ascii="宋体" w:hAnsi="宋体"/>
                <w:sz w:val="21"/>
                <w:szCs w:val="21"/>
              </w:rPr>
            </w:pPr>
            <w:r>
              <w:rPr>
                <w:rFonts w:hint="eastAsia" w:ascii="宋体" w:hAnsi="宋体"/>
                <w:sz w:val="21"/>
                <w:szCs w:val="21"/>
              </w:rPr>
              <w:t>技术要求</w:t>
            </w:r>
          </w:p>
        </w:tc>
        <w:tc>
          <w:tcPr>
            <w:tcW w:w="1036" w:type="pct"/>
            <w:vAlign w:val="center"/>
          </w:tcPr>
          <w:p w14:paraId="58559FDA">
            <w:pPr>
              <w:ind w:firstLine="0" w:firstLineChars="0"/>
              <w:jc w:val="center"/>
              <w:rPr>
                <w:rFonts w:ascii="宋体" w:hAnsi="宋体"/>
                <w:sz w:val="21"/>
                <w:szCs w:val="21"/>
              </w:rPr>
            </w:pPr>
            <w:r>
              <w:rPr>
                <w:rFonts w:hint="eastAsia" w:ascii="宋体" w:hAnsi="宋体"/>
                <w:sz w:val="21"/>
                <w:szCs w:val="21"/>
              </w:rPr>
              <w:t>试验方法</w:t>
            </w:r>
          </w:p>
        </w:tc>
      </w:tr>
      <w:tr w14:paraId="41A53F0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711FF9D9">
            <w:pPr>
              <w:ind w:firstLine="0" w:firstLineChars="0"/>
              <w:jc w:val="center"/>
              <w:rPr>
                <w:rFonts w:ascii="宋体" w:hAnsi="宋体"/>
                <w:sz w:val="21"/>
                <w:szCs w:val="21"/>
              </w:rPr>
            </w:pPr>
            <w:r>
              <w:rPr>
                <w:rFonts w:hint="eastAsia" w:ascii="宋体" w:hAnsi="宋体"/>
                <w:sz w:val="21"/>
                <w:szCs w:val="21"/>
              </w:rPr>
              <w:t>表观相对密度，不小于</w:t>
            </w:r>
          </w:p>
        </w:tc>
        <w:tc>
          <w:tcPr>
            <w:tcW w:w="438" w:type="pct"/>
            <w:vAlign w:val="center"/>
          </w:tcPr>
          <w:p w14:paraId="72C0FFBA">
            <w:pPr>
              <w:ind w:firstLine="0" w:firstLineChars="0"/>
              <w:jc w:val="center"/>
              <w:rPr>
                <w:rFonts w:ascii="宋体" w:hAnsi="宋体"/>
                <w:sz w:val="21"/>
                <w:szCs w:val="21"/>
              </w:rPr>
            </w:pPr>
            <w:r>
              <w:rPr>
                <w:rFonts w:hint="eastAsia" w:ascii="宋体" w:hAnsi="宋体"/>
                <w:sz w:val="21"/>
                <w:szCs w:val="21"/>
              </w:rPr>
              <w:t>－</w:t>
            </w:r>
          </w:p>
        </w:tc>
        <w:tc>
          <w:tcPr>
            <w:tcW w:w="1151" w:type="pct"/>
            <w:vAlign w:val="center"/>
          </w:tcPr>
          <w:p w14:paraId="711F732F">
            <w:pPr>
              <w:ind w:firstLine="0" w:firstLineChars="0"/>
              <w:jc w:val="center"/>
              <w:rPr>
                <w:rFonts w:ascii="宋体" w:hAnsi="宋体"/>
                <w:sz w:val="21"/>
                <w:szCs w:val="21"/>
              </w:rPr>
            </w:pPr>
            <w:r>
              <w:rPr>
                <w:rFonts w:hint="eastAsia" w:ascii="宋体" w:hAnsi="宋体"/>
                <w:sz w:val="21"/>
                <w:szCs w:val="21"/>
              </w:rPr>
              <w:t>2.5</w:t>
            </w:r>
          </w:p>
        </w:tc>
        <w:tc>
          <w:tcPr>
            <w:tcW w:w="1036" w:type="pct"/>
            <w:vAlign w:val="center"/>
          </w:tcPr>
          <w:p w14:paraId="5E92D293">
            <w:pPr>
              <w:ind w:firstLine="0" w:firstLineChars="0"/>
              <w:jc w:val="center"/>
              <w:rPr>
                <w:rFonts w:ascii="宋体" w:hAnsi="宋体"/>
                <w:sz w:val="21"/>
                <w:szCs w:val="21"/>
              </w:rPr>
            </w:pPr>
            <w:r>
              <w:rPr>
                <w:rFonts w:hint="eastAsia" w:ascii="宋体" w:hAnsi="宋体"/>
                <w:sz w:val="21"/>
                <w:szCs w:val="21"/>
              </w:rPr>
              <w:t>T 0328</w:t>
            </w:r>
          </w:p>
        </w:tc>
      </w:tr>
      <w:tr w14:paraId="28E6059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7B6F990D">
            <w:pPr>
              <w:ind w:firstLine="0" w:firstLineChars="0"/>
              <w:jc w:val="center"/>
              <w:rPr>
                <w:rFonts w:ascii="宋体" w:hAnsi="宋体"/>
                <w:sz w:val="21"/>
                <w:szCs w:val="21"/>
              </w:rPr>
            </w:pPr>
            <w:r>
              <w:rPr>
                <w:rFonts w:hint="eastAsia" w:ascii="宋体" w:hAnsi="宋体"/>
                <w:sz w:val="21"/>
                <w:szCs w:val="21"/>
              </w:rPr>
              <w:t>坚固性（＞0.3mm部分），不小于</w:t>
            </w:r>
          </w:p>
        </w:tc>
        <w:tc>
          <w:tcPr>
            <w:tcW w:w="438" w:type="pct"/>
            <w:vAlign w:val="center"/>
          </w:tcPr>
          <w:p w14:paraId="034F79B1">
            <w:pPr>
              <w:ind w:firstLine="0" w:firstLineChars="0"/>
              <w:jc w:val="center"/>
              <w:rPr>
                <w:rFonts w:ascii="宋体" w:hAnsi="宋体"/>
                <w:sz w:val="21"/>
                <w:szCs w:val="21"/>
              </w:rPr>
            </w:pPr>
            <w:r>
              <w:rPr>
                <w:rFonts w:hint="eastAsia" w:ascii="宋体" w:hAnsi="宋体"/>
                <w:sz w:val="21"/>
                <w:szCs w:val="21"/>
              </w:rPr>
              <w:t>％</w:t>
            </w:r>
          </w:p>
        </w:tc>
        <w:tc>
          <w:tcPr>
            <w:tcW w:w="1151" w:type="pct"/>
            <w:vAlign w:val="center"/>
          </w:tcPr>
          <w:p w14:paraId="1AFC396B">
            <w:pPr>
              <w:ind w:firstLine="0" w:firstLineChars="0"/>
              <w:jc w:val="center"/>
              <w:rPr>
                <w:rFonts w:ascii="宋体" w:hAnsi="宋体"/>
                <w:sz w:val="21"/>
                <w:szCs w:val="21"/>
              </w:rPr>
            </w:pPr>
            <w:r>
              <w:rPr>
                <w:rFonts w:hint="eastAsia" w:ascii="宋体" w:hAnsi="宋体"/>
                <w:sz w:val="21"/>
                <w:szCs w:val="21"/>
              </w:rPr>
              <w:t>12</w:t>
            </w:r>
          </w:p>
        </w:tc>
        <w:tc>
          <w:tcPr>
            <w:tcW w:w="1036" w:type="pct"/>
            <w:vAlign w:val="center"/>
          </w:tcPr>
          <w:p w14:paraId="5933879A">
            <w:pPr>
              <w:ind w:firstLine="0" w:firstLineChars="0"/>
              <w:jc w:val="center"/>
              <w:rPr>
                <w:rFonts w:ascii="宋体" w:hAnsi="宋体"/>
                <w:sz w:val="21"/>
                <w:szCs w:val="21"/>
              </w:rPr>
            </w:pPr>
            <w:r>
              <w:rPr>
                <w:rFonts w:hint="eastAsia" w:ascii="宋体" w:hAnsi="宋体"/>
                <w:sz w:val="21"/>
                <w:szCs w:val="21"/>
              </w:rPr>
              <w:t>T 0340</w:t>
            </w:r>
          </w:p>
        </w:tc>
      </w:tr>
      <w:tr w14:paraId="1AE6740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1B719294">
            <w:pPr>
              <w:ind w:firstLine="0" w:firstLineChars="0"/>
              <w:jc w:val="center"/>
              <w:rPr>
                <w:rFonts w:ascii="宋体" w:hAnsi="宋体"/>
                <w:sz w:val="21"/>
                <w:szCs w:val="21"/>
              </w:rPr>
            </w:pPr>
            <w:r>
              <w:rPr>
                <w:rFonts w:hint="eastAsia" w:ascii="宋体" w:hAnsi="宋体"/>
                <w:sz w:val="21"/>
                <w:szCs w:val="21"/>
              </w:rPr>
              <w:t>含泥量（小于0.075mm的含量）</w:t>
            </w:r>
          </w:p>
        </w:tc>
        <w:tc>
          <w:tcPr>
            <w:tcW w:w="438" w:type="pct"/>
            <w:vAlign w:val="center"/>
          </w:tcPr>
          <w:p w14:paraId="6F1102FE">
            <w:pPr>
              <w:ind w:firstLine="0" w:firstLineChars="0"/>
              <w:jc w:val="center"/>
              <w:rPr>
                <w:rFonts w:ascii="宋体" w:hAnsi="宋体"/>
                <w:sz w:val="21"/>
                <w:szCs w:val="21"/>
              </w:rPr>
            </w:pPr>
            <w:r>
              <w:rPr>
                <w:rFonts w:hint="eastAsia" w:ascii="宋体" w:hAnsi="宋体"/>
                <w:sz w:val="21"/>
                <w:szCs w:val="21"/>
              </w:rPr>
              <w:t>％</w:t>
            </w:r>
          </w:p>
        </w:tc>
        <w:tc>
          <w:tcPr>
            <w:tcW w:w="1151" w:type="pct"/>
            <w:vAlign w:val="center"/>
          </w:tcPr>
          <w:p w14:paraId="7AACB232">
            <w:pPr>
              <w:ind w:firstLine="0" w:firstLineChars="0"/>
              <w:jc w:val="center"/>
              <w:rPr>
                <w:rFonts w:ascii="宋体" w:hAnsi="宋体"/>
                <w:sz w:val="21"/>
                <w:szCs w:val="21"/>
              </w:rPr>
            </w:pPr>
            <w:r>
              <w:rPr>
                <w:rFonts w:hint="eastAsia" w:ascii="宋体" w:hAnsi="宋体"/>
                <w:sz w:val="21"/>
                <w:szCs w:val="21"/>
              </w:rPr>
              <w:t>3</w:t>
            </w:r>
          </w:p>
        </w:tc>
        <w:tc>
          <w:tcPr>
            <w:tcW w:w="1036" w:type="pct"/>
            <w:vAlign w:val="center"/>
          </w:tcPr>
          <w:p w14:paraId="4E3D25F8">
            <w:pPr>
              <w:ind w:firstLine="0" w:firstLineChars="0"/>
              <w:jc w:val="center"/>
              <w:rPr>
                <w:rFonts w:ascii="宋体" w:hAnsi="宋体"/>
                <w:sz w:val="21"/>
                <w:szCs w:val="21"/>
              </w:rPr>
            </w:pPr>
            <w:r>
              <w:rPr>
                <w:rFonts w:hint="eastAsia" w:ascii="宋体" w:hAnsi="宋体"/>
                <w:sz w:val="21"/>
                <w:szCs w:val="21"/>
              </w:rPr>
              <w:t>T 0333</w:t>
            </w:r>
          </w:p>
        </w:tc>
      </w:tr>
      <w:tr w14:paraId="473C976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15FE480D">
            <w:pPr>
              <w:ind w:firstLine="0" w:firstLineChars="0"/>
              <w:jc w:val="center"/>
              <w:rPr>
                <w:rFonts w:ascii="宋体" w:hAnsi="宋体"/>
                <w:sz w:val="21"/>
                <w:szCs w:val="21"/>
              </w:rPr>
            </w:pPr>
            <w:r>
              <w:rPr>
                <w:rFonts w:hint="eastAsia" w:ascii="宋体" w:hAnsi="宋体"/>
                <w:sz w:val="21"/>
                <w:szCs w:val="21"/>
              </w:rPr>
              <w:t>砂当量，不小于</w:t>
            </w:r>
          </w:p>
        </w:tc>
        <w:tc>
          <w:tcPr>
            <w:tcW w:w="438" w:type="pct"/>
            <w:vAlign w:val="center"/>
          </w:tcPr>
          <w:p w14:paraId="571ED8D6">
            <w:pPr>
              <w:ind w:firstLine="0" w:firstLineChars="0"/>
              <w:jc w:val="center"/>
              <w:rPr>
                <w:rFonts w:ascii="宋体" w:hAnsi="宋体"/>
                <w:sz w:val="21"/>
                <w:szCs w:val="21"/>
              </w:rPr>
            </w:pPr>
            <w:r>
              <w:rPr>
                <w:rFonts w:hint="eastAsia" w:ascii="宋体" w:hAnsi="宋体"/>
                <w:sz w:val="21"/>
                <w:szCs w:val="21"/>
              </w:rPr>
              <w:t>％</w:t>
            </w:r>
          </w:p>
        </w:tc>
        <w:tc>
          <w:tcPr>
            <w:tcW w:w="1151" w:type="pct"/>
            <w:vAlign w:val="center"/>
          </w:tcPr>
          <w:p w14:paraId="557179D5">
            <w:pPr>
              <w:ind w:firstLine="0" w:firstLineChars="0"/>
              <w:jc w:val="center"/>
              <w:rPr>
                <w:rFonts w:ascii="宋体" w:hAnsi="宋体"/>
                <w:sz w:val="21"/>
                <w:szCs w:val="21"/>
              </w:rPr>
            </w:pPr>
            <w:r>
              <w:rPr>
                <w:rFonts w:hint="eastAsia" w:ascii="宋体" w:hAnsi="宋体"/>
                <w:sz w:val="21"/>
                <w:szCs w:val="21"/>
              </w:rPr>
              <w:t>60</w:t>
            </w:r>
          </w:p>
        </w:tc>
        <w:tc>
          <w:tcPr>
            <w:tcW w:w="1036" w:type="pct"/>
            <w:vAlign w:val="center"/>
          </w:tcPr>
          <w:p w14:paraId="7D5BD663">
            <w:pPr>
              <w:ind w:firstLine="0" w:firstLineChars="0"/>
              <w:jc w:val="center"/>
              <w:rPr>
                <w:rFonts w:ascii="宋体" w:hAnsi="宋体"/>
                <w:sz w:val="21"/>
                <w:szCs w:val="21"/>
              </w:rPr>
            </w:pPr>
            <w:r>
              <w:rPr>
                <w:rFonts w:hint="eastAsia" w:ascii="宋体" w:hAnsi="宋体"/>
                <w:sz w:val="21"/>
                <w:szCs w:val="21"/>
              </w:rPr>
              <w:t>T 0334</w:t>
            </w:r>
          </w:p>
        </w:tc>
      </w:tr>
      <w:tr w14:paraId="0076745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7A88A1E1">
            <w:pPr>
              <w:ind w:firstLine="0" w:firstLineChars="0"/>
              <w:jc w:val="center"/>
              <w:rPr>
                <w:rFonts w:ascii="宋体" w:hAnsi="宋体"/>
                <w:sz w:val="21"/>
                <w:szCs w:val="21"/>
              </w:rPr>
            </w:pPr>
            <w:r>
              <w:rPr>
                <w:rFonts w:hint="eastAsia" w:ascii="宋体" w:hAnsi="宋体"/>
                <w:sz w:val="21"/>
                <w:szCs w:val="21"/>
              </w:rPr>
              <w:t>亚甲蓝值，不小于</w:t>
            </w:r>
          </w:p>
        </w:tc>
        <w:tc>
          <w:tcPr>
            <w:tcW w:w="438" w:type="pct"/>
            <w:vAlign w:val="center"/>
          </w:tcPr>
          <w:p w14:paraId="66B72AAC">
            <w:pPr>
              <w:ind w:firstLine="0" w:firstLineChars="0"/>
              <w:jc w:val="center"/>
              <w:rPr>
                <w:rFonts w:ascii="宋体" w:hAnsi="宋体"/>
                <w:sz w:val="21"/>
                <w:szCs w:val="21"/>
              </w:rPr>
            </w:pPr>
            <w:r>
              <w:rPr>
                <w:rFonts w:hint="eastAsia" w:ascii="宋体" w:hAnsi="宋体"/>
                <w:sz w:val="21"/>
                <w:szCs w:val="21"/>
              </w:rPr>
              <w:t>g/kg</w:t>
            </w:r>
          </w:p>
        </w:tc>
        <w:tc>
          <w:tcPr>
            <w:tcW w:w="1151" w:type="pct"/>
            <w:vAlign w:val="center"/>
          </w:tcPr>
          <w:p w14:paraId="1BED0518">
            <w:pPr>
              <w:ind w:firstLine="0" w:firstLineChars="0"/>
              <w:jc w:val="center"/>
              <w:rPr>
                <w:rFonts w:ascii="宋体" w:hAnsi="宋体"/>
                <w:sz w:val="21"/>
                <w:szCs w:val="21"/>
              </w:rPr>
            </w:pPr>
            <w:r>
              <w:rPr>
                <w:rFonts w:hint="eastAsia" w:ascii="宋体" w:hAnsi="宋体"/>
                <w:sz w:val="21"/>
                <w:szCs w:val="21"/>
              </w:rPr>
              <w:t>25</w:t>
            </w:r>
          </w:p>
        </w:tc>
        <w:tc>
          <w:tcPr>
            <w:tcW w:w="1036" w:type="pct"/>
            <w:vAlign w:val="center"/>
          </w:tcPr>
          <w:p w14:paraId="6EE91FD0">
            <w:pPr>
              <w:ind w:firstLine="0" w:firstLineChars="0"/>
              <w:jc w:val="center"/>
              <w:rPr>
                <w:rFonts w:ascii="宋体" w:hAnsi="宋体"/>
                <w:sz w:val="21"/>
                <w:szCs w:val="21"/>
              </w:rPr>
            </w:pPr>
            <w:r>
              <w:rPr>
                <w:rFonts w:hint="eastAsia" w:ascii="宋体" w:hAnsi="宋体"/>
                <w:sz w:val="21"/>
                <w:szCs w:val="21"/>
              </w:rPr>
              <w:t>T 0349</w:t>
            </w:r>
          </w:p>
        </w:tc>
      </w:tr>
      <w:tr w14:paraId="2DD5E82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0" w:type="dxa"/>
            <w:bottom w:w="0" w:type="dxa"/>
            <w:right w:w="0" w:type="dxa"/>
          </w:tblCellMar>
        </w:tblPrEx>
        <w:trPr>
          <w:trHeight w:val="425" w:hRule="atLeast"/>
          <w:jc w:val="center"/>
        </w:trPr>
        <w:tc>
          <w:tcPr>
            <w:tcW w:w="2376" w:type="pct"/>
            <w:vAlign w:val="center"/>
          </w:tcPr>
          <w:p w14:paraId="5B58DD61">
            <w:pPr>
              <w:ind w:firstLine="0" w:firstLineChars="0"/>
              <w:jc w:val="center"/>
              <w:rPr>
                <w:rFonts w:ascii="宋体" w:hAnsi="宋体"/>
                <w:sz w:val="21"/>
                <w:szCs w:val="21"/>
              </w:rPr>
            </w:pPr>
            <w:r>
              <w:rPr>
                <w:rFonts w:hint="eastAsia" w:ascii="宋体" w:hAnsi="宋体"/>
                <w:sz w:val="21"/>
                <w:szCs w:val="21"/>
              </w:rPr>
              <w:t>凌角性（流动时间），不小于</w:t>
            </w:r>
          </w:p>
        </w:tc>
        <w:tc>
          <w:tcPr>
            <w:tcW w:w="438" w:type="pct"/>
            <w:vAlign w:val="center"/>
          </w:tcPr>
          <w:p w14:paraId="7B31B48B">
            <w:pPr>
              <w:ind w:firstLine="0" w:firstLineChars="0"/>
              <w:jc w:val="center"/>
              <w:rPr>
                <w:rFonts w:ascii="宋体" w:hAnsi="宋体"/>
                <w:sz w:val="21"/>
                <w:szCs w:val="21"/>
              </w:rPr>
            </w:pPr>
            <w:r>
              <w:rPr>
                <w:rFonts w:hint="eastAsia" w:ascii="宋体" w:hAnsi="宋体"/>
                <w:sz w:val="21"/>
                <w:szCs w:val="21"/>
              </w:rPr>
              <w:t>s</w:t>
            </w:r>
          </w:p>
        </w:tc>
        <w:tc>
          <w:tcPr>
            <w:tcW w:w="1151" w:type="pct"/>
            <w:vAlign w:val="center"/>
          </w:tcPr>
          <w:p w14:paraId="3CE829CA">
            <w:pPr>
              <w:ind w:firstLine="0" w:firstLineChars="0"/>
              <w:jc w:val="center"/>
              <w:rPr>
                <w:rFonts w:ascii="宋体" w:hAnsi="宋体"/>
                <w:sz w:val="21"/>
                <w:szCs w:val="21"/>
              </w:rPr>
            </w:pPr>
            <w:r>
              <w:rPr>
                <w:rFonts w:hint="eastAsia" w:ascii="宋体" w:hAnsi="宋体"/>
                <w:sz w:val="21"/>
                <w:szCs w:val="21"/>
              </w:rPr>
              <w:t>30</w:t>
            </w:r>
          </w:p>
        </w:tc>
        <w:tc>
          <w:tcPr>
            <w:tcW w:w="1036" w:type="pct"/>
            <w:vAlign w:val="center"/>
          </w:tcPr>
          <w:p w14:paraId="3197F670">
            <w:pPr>
              <w:ind w:firstLine="0" w:firstLineChars="0"/>
              <w:jc w:val="center"/>
              <w:rPr>
                <w:rFonts w:ascii="宋体" w:hAnsi="宋体"/>
                <w:sz w:val="21"/>
                <w:szCs w:val="21"/>
              </w:rPr>
            </w:pPr>
            <w:r>
              <w:rPr>
                <w:rFonts w:hint="eastAsia" w:ascii="宋体" w:hAnsi="宋体"/>
                <w:sz w:val="21"/>
                <w:szCs w:val="21"/>
              </w:rPr>
              <w:t>T 0345</w:t>
            </w:r>
          </w:p>
        </w:tc>
      </w:tr>
    </w:tbl>
    <w:p w14:paraId="0238D6C0">
      <w:pPr>
        <w:pStyle w:val="180"/>
        <w:ind w:firstLine="360"/>
        <w:rPr>
          <w:rFonts w:eastAsia="宋体"/>
          <w:kern w:val="0"/>
          <w:sz w:val="22"/>
          <w:szCs w:val="22"/>
        </w:rPr>
      </w:pPr>
      <w:r>
        <w:rPr>
          <w:rFonts w:hint="eastAsia" w:eastAsia="宋体"/>
          <w:kern w:val="0"/>
          <w:sz w:val="22"/>
          <w:szCs w:val="22"/>
        </w:rPr>
        <w:t>注:坚固性试验可根据需要进行。</w:t>
      </w:r>
    </w:p>
    <w:p w14:paraId="59933367">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8</w:t>
      </w:r>
      <w:r>
        <w:rPr>
          <w:rFonts w:hint="eastAsia" w:ascii="宋体" w:hAnsi="宋体"/>
          <w:color w:val="000000"/>
          <w:szCs w:val="24"/>
        </w:rPr>
        <w:t>）填料</w:t>
      </w:r>
    </w:p>
    <w:p w14:paraId="7F27E456">
      <w:pPr>
        <w:pStyle w:val="180"/>
        <w:ind w:firstLine="560"/>
        <w:rPr>
          <w:rFonts w:eastAsia="宋体"/>
          <w:color w:val="000000"/>
          <w:szCs w:val="24"/>
        </w:rPr>
      </w:pPr>
      <w:r>
        <w:rPr>
          <w:rFonts w:hint="eastAsia" w:eastAsia="宋体"/>
          <w:color w:val="000000"/>
          <w:szCs w:val="24"/>
        </w:rPr>
        <w:t>沥青混合料的矿粉采用石料磨细得到的矿粉，原石料中的泥土杂质应除净。矿粉应干燥、洁净，能自由地从矿粉仓流出，其质量应符合下表的技术要求。</w:t>
      </w:r>
    </w:p>
    <w:p w14:paraId="386FB9FE">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 xml:space="preserve">沥青混合料用矿粉质量要求                </w:t>
      </w:r>
    </w:p>
    <w:tbl>
      <w:tblPr>
        <w:tblStyle w:val="88"/>
        <w:tblW w:w="4456"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0" w:type="dxa"/>
          <w:bottom w:w="0" w:type="dxa"/>
          <w:right w:w="0" w:type="dxa"/>
        </w:tblCellMar>
      </w:tblPr>
      <w:tblGrid>
        <w:gridCol w:w="2866"/>
        <w:gridCol w:w="878"/>
        <w:gridCol w:w="2649"/>
        <w:gridCol w:w="2425"/>
      </w:tblGrid>
      <w:tr w14:paraId="6D323BB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trHeight w:val="294" w:hRule="atLeast"/>
          <w:tblHeader/>
          <w:jc w:val="center"/>
        </w:trPr>
        <w:tc>
          <w:tcPr>
            <w:tcW w:w="1625" w:type="pct"/>
            <w:shd w:val="clear" w:color="auto" w:fill="auto"/>
            <w:vAlign w:val="center"/>
          </w:tcPr>
          <w:p w14:paraId="313F1DC4">
            <w:pPr>
              <w:pStyle w:val="45"/>
              <w:spacing w:line="360" w:lineRule="auto"/>
              <w:rPr>
                <w:rFonts w:hint="default" w:hAnsi="宋体"/>
              </w:rPr>
            </w:pPr>
            <w:r>
              <w:rPr>
                <w:rFonts w:hAnsi="宋体"/>
              </w:rPr>
              <w:t>项  目</w:t>
            </w:r>
          </w:p>
        </w:tc>
        <w:tc>
          <w:tcPr>
            <w:tcW w:w="498" w:type="pct"/>
            <w:shd w:val="clear" w:color="auto" w:fill="auto"/>
            <w:vAlign w:val="center"/>
          </w:tcPr>
          <w:p w14:paraId="5D65AF89">
            <w:pPr>
              <w:pStyle w:val="45"/>
              <w:spacing w:line="360" w:lineRule="auto"/>
              <w:jc w:val="center"/>
              <w:rPr>
                <w:rFonts w:hint="default" w:hAnsi="宋体"/>
              </w:rPr>
            </w:pPr>
            <w:r>
              <w:rPr>
                <w:rFonts w:hAnsi="宋体"/>
              </w:rPr>
              <w:t>单位</w:t>
            </w:r>
          </w:p>
        </w:tc>
        <w:tc>
          <w:tcPr>
            <w:tcW w:w="1502" w:type="pct"/>
            <w:shd w:val="clear" w:color="auto" w:fill="auto"/>
            <w:vAlign w:val="center"/>
          </w:tcPr>
          <w:p w14:paraId="210BF19D">
            <w:pPr>
              <w:pStyle w:val="45"/>
              <w:spacing w:line="360" w:lineRule="auto"/>
              <w:jc w:val="center"/>
              <w:rPr>
                <w:rFonts w:hint="default" w:hAnsi="宋体"/>
              </w:rPr>
            </w:pPr>
            <w:r>
              <w:rPr>
                <w:rFonts w:hAnsi="宋体"/>
              </w:rPr>
              <w:t>要求值</w:t>
            </w:r>
          </w:p>
        </w:tc>
        <w:tc>
          <w:tcPr>
            <w:tcW w:w="1375" w:type="pct"/>
            <w:shd w:val="clear" w:color="auto" w:fill="auto"/>
            <w:vAlign w:val="center"/>
          </w:tcPr>
          <w:p w14:paraId="6240DB84">
            <w:pPr>
              <w:pStyle w:val="45"/>
              <w:spacing w:line="360" w:lineRule="auto"/>
              <w:rPr>
                <w:rFonts w:hint="default" w:hAnsi="宋体"/>
              </w:rPr>
            </w:pPr>
            <w:r>
              <w:rPr>
                <w:rFonts w:hAnsi="宋体"/>
              </w:rPr>
              <w:t>试验方法</w:t>
            </w:r>
          </w:p>
        </w:tc>
      </w:tr>
      <w:tr w14:paraId="4FF45D4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trHeight w:val="383" w:hRule="atLeast"/>
          <w:jc w:val="center"/>
        </w:trPr>
        <w:tc>
          <w:tcPr>
            <w:tcW w:w="1625" w:type="pct"/>
            <w:shd w:val="clear" w:color="auto" w:fill="auto"/>
            <w:vAlign w:val="center"/>
          </w:tcPr>
          <w:p w14:paraId="3B2A5A89">
            <w:pPr>
              <w:pStyle w:val="45"/>
              <w:spacing w:line="360" w:lineRule="auto"/>
              <w:jc w:val="center"/>
              <w:rPr>
                <w:rFonts w:hint="default" w:hAnsi="宋体"/>
              </w:rPr>
            </w:pPr>
            <w:r>
              <w:rPr>
                <w:rFonts w:hAnsi="宋体"/>
              </w:rPr>
              <w:t>表观相对密度  不小于</w:t>
            </w:r>
          </w:p>
        </w:tc>
        <w:tc>
          <w:tcPr>
            <w:tcW w:w="498" w:type="pct"/>
            <w:shd w:val="clear" w:color="auto" w:fill="auto"/>
            <w:vAlign w:val="center"/>
          </w:tcPr>
          <w:p w14:paraId="62E01F4C">
            <w:pPr>
              <w:pStyle w:val="45"/>
              <w:spacing w:line="360" w:lineRule="auto"/>
              <w:jc w:val="center"/>
              <w:rPr>
                <w:rFonts w:hint="default" w:hAnsi="宋体"/>
              </w:rPr>
            </w:pPr>
            <w:r>
              <w:rPr>
                <w:rFonts w:hAnsi="宋体"/>
              </w:rPr>
              <w:t>t/m</w:t>
            </w:r>
            <w:r>
              <w:rPr>
                <w:rFonts w:hAnsi="宋体"/>
                <w:vertAlign w:val="superscript"/>
              </w:rPr>
              <w:t>3</w:t>
            </w:r>
          </w:p>
        </w:tc>
        <w:tc>
          <w:tcPr>
            <w:tcW w:w="1502" w:type="pct"/>
            <w:shd w:val="clear" w:color="auto" w:fill="auto"/>
            <w:vAlign w:val="center"/>
          </w:tcPr>
          <w:p w14:paraId="4B1D852B">
            <w:pPr>
              <w:pStyle w:val="45"/>
              <w:spacing w:line="360" w:lineRule="auto"/>
              <w:jc w:val="center"/>
              <w:rPr>
                <w:rFonts w:hint="default" w:hAnsi="宋体"/>
              </w:rPr>
            </w:pPr>
            <w:r>
              <w:rPr>
                <w:rFonts w:hAnsi="宋体"/>
              </w:rPr>
              <w:t>2.50</w:t>
            </w:r>
          </w:p>
        </w:tc>
        <w:tc>
          <w:tcPr>
            <w:tcW w:w="1375" w:type="pct"/>
            <w:shd w:val="clear" w:color="auto" w:fill="auto"/>
            <w:vAlign w:val="center"/>
          </w:tcPr>
          <w:p w14:paraId="468AA54D">
            <w:pPr>
              <w:pStyle w:val="45"/>
              <w:spacing w:line="360" w:lineRule="auto"/>
              <w:jc w:val="center"/>
              <w:rPr>
                <w:rFonts w:hint="default" w:hAnsi="宋体"/>
              </w:rPr>
            </w:pPr>
            <w:r>
              <w:rPr>
                <w:rFonts w:hAnsi="宋体"/>
              </w:rPr>
              <w:t>T 0352</w:t>
            </w:r>
          </w:p>
        </w:tc>
      </w:tr>
      <w:tr w14:paraId="17E795C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trHeight w:val="383" w:hRule="atLeast"/>
          <w:jc w:val="center"/>
        </w:trPr>
        <w:tc>
          <w:tcPr>
            <w:tcW w:w="1625" w:type="pct"/>
            <w:shd w:val="clear" w:color="auto" w:fill="auto"/>
            <w:vAlign w:val="center"/>
          </w:tcPr>
          <w:p w14:paraId="6CAB529E">
            <w:pPr>
              <w:pStyle w:val="45"/>
              <w:spacing w:line="360" w:lineRule="auto"/>
              <w:jc w:val="center"/>
              <w:rPr>
                <w:rFonts w:hint="default" w:hAnsi="宋体"/>
              </w:rPr>
            </w:pPr>
            <w:r>
              <w:rPr>
                <w:rFonts w:hAnsi="宋体"/>
              </w:rPr>
              <w:t>含水量    不大于</w:t>
            </w:r>
          </w:p>
        </w:tc>
        <w:tc>
          <w:tcPr>
            <w:tcW w:w="498" w:type="pct"/>
            <w:shd w:val="clear" w:color="auto" w:fill="auto"/>
            <w:vAlign w:val="center"/>
          </w:tcPr>
          <w:p w14:paraId="038D71D6">
            <w:pPr>
              <w:pStyle w:val="45"/>
              <w:spacing w:line="360" w:lineRule="auto"/>
              <w:jc w:val="center"/>
              <w:rPr>
                <w:rFonts w:hint="default" w:hAnsi="宋体"/>
              </w:rPr>
            </w:pPr>
            <w:r>
              <w:rPr>
                <w:rFonts w:hAnsi="宋体"/>
              </w:rPr>
              <w:t>％</w:t>
            </w:r>
          </w:p>
        </w:tc>
        <w:tc>
          <w:tcPr>
            <w:tcW w:w="1502" w:type="pct"/>
            <w:shd w:val="clear" w:color="auto" w:fill="auto"/>
            <w:vAlign w:val="center"/>
          </w:tcPr>
          <w:p w14:paraId="6454CAB9">
            <w:pPr>
              <w:pStyle w:val="45"/>
              <w:spacing w:line="360" w:lineRule="auto"/>
              <w:jc w:val="center"/>
              <w:rPr>
                <w:rFonts w:hint="default" w:hAnsi="宋体"/>
              </w:rPr>
            </w:pPr>
            <w:r>
              <w:rPr>
                <w:rFonts w:hAnsi="宋体"/>
              </w:rPr>
              <w:t>1</w:t>
            </w:r>
          </w:p>
        </w:tc>
        <w:tc>
          <w:tcPr>
            <w:tcW w:w="1375" w:type="pct"/>
            <w:shd w:val="clear" w:color="auto" w:fill="auto"/>
            <w:vAlign w:val="center"/>
          </w:tcPr>
          <w:p w14:paraId="23F20CF3">
            <w:pPr>
              <w:pStyle w:val="45"/>
              <w:spacing w:line="360" w:lineRule="auto"/>
              <w:jc w:val="center"/>
              <w:rPr>
                <w:rFonts w:hint="default" w:hAnsi="宋体"/>
              </w:rPr>
            </w:pPr>
            <w:r>
              <w:rPr>
                <w:rFonts w:hAnsi="宋体"/>
              </w:rPr>
              <w:t xml:space="preserve"> T0103 烘干法</w:t>
            </w:r>
          </w:p>
        </w:tc>
      </w:tr>
      <w:tr w14:paraId="6AD99C4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883" w:hRule="atLeast"/>
          <w:jc w:val="center"/>
        </w:trPr>
        <w:tc>
          <w:tcPr>
            <w:tcW w:w="1625" w:type="pct"/>
            <w:shd w:val="clear" w:color="auto" w:fill="auto"/>
            <w:vAlign w:val="center"/>
          </w:tcPr>
          <w:p w14:paraId="2A69C26B">
            <w:pPr>
              <w:pStyle w:val="45"/>
              <w:spacing w:line="360" w:lineRule="auto"/>
              <w:rPr>
                <w:rFonts w:hint="default" w:hAnsi="宋体"/>
              </w:rPr>
            </w:pPr>
            <w:r>
              <w:rPr>
                <w:rFonts w:hAnsi="宋体"/>
              </w:rPr>
              <w:t>粒度范围 &lt;0.6mm</w:t>
            </w:r>
          </w:p>
          <w:p w14:paraId="36545585">
            <w:pPr>
              <w:pStyle w:val="45"/>
              <w:spacing w:line="360" w:lineRule="auto"/>
              <w:rPr>
                <w:rFonts w:hint="default" w:hAnsi="宋体"/>
              </w:rPr>
            </w:pPr>
            <w:r>
              <w:rPr>
                <w:rFonts w:hAnsi="宋体"/>
              </w:rPr>
              <w:t>&lt;0.15mm</w:t>
            </w:r>
          </w:p>
          <w:p w14:paraId="5C619034">
            <w:pPr>
              <w:pStyle w:val="45"/>
              <w:spacing w:line="360" w:lineRule="auto"/>
              <w:rPr>
                <w:rFonts w:hint="default" w:hAnsi="宋体"/>
              </w:rPr>
            </w:pPr>
            <w:r>
              <w:rPr>
                <w:rFonts w:hAnsi="宋体"/>
              </w:rPr>
              <w:t>&lt;0.075mm</w:t>
            </w:r>
          </w:p>
        </w:tc>
        <w:tc>
          <w:tcPr>
            <w:tcW w:w="498" w:type="pct"/>
            <w:shd w:val="clear" w:color="auto" w:fill="auto"/>
            <w:vAlign w:val="center"/>
          </w:tcPr>
          <w:p w14:paraId="25E60045">
            <w:pPr>
              <w:pStyle w:val="45"/>
              <w:spacing w:line="360" w:lineRule="auto"/>
              <w:jc w:val="center"/>
              <w:rPr>
                <w:rFonts w:hint="default" w:hAnsi="宋体"/>
              </w:rPr>
            </w:pPr>
            <w:r>
              <w:rPr>
                <w:rFonts w:hAnsi="宋体"/>
              </w:rPr>
              <w:t>％</w:t>
            </w:r>
          </w:p>
          <w:p w14:paraId="03A527B1">
            <w:pPr>
              <w:pStyle w:val="45"/>
              <w:spacing w:line="360" w:lineRule="auto"/>
              <w:jc w:val="center"/>
              <w:rPr>
                <w:rFonts w:hint="default" w:hAnsi="宋体"/>
              </w:rPr>
            </w:pPr>
            <w:r>
              <w:rPr>
                <w:rFonts w:hAnsi="宋体"/>
              </w:rPr>
              <w:t>％</w:t>
            </w:r>
          </w:p>
          <w:p w14:paraId="71F075DC">
            <w:pPr>
              <w:pStyle w:val="45"/>
              <w:spacing w:line="360" w:lineRule="auto"/>
              <w:jc w:val="center"/>
              <w:rPr>
                <w:rFonts w:hint="default" w:hAnsi="宋体"/>
              </w:rPr>
            </w:pPr>
            <w:r>
              <w:rPr>
                <w:rFonts w:hAnsi="宋体"/>
              </w:rPr>
              <w:t>％</w:t>
            </w:r>
          </w:p>
        </w:tc>
        <w:tc>
          <w:tcPr>
            <w:tcW w:w="1502" w:type="pct"/>
            <w:shd w:val="clear" w:color="auto" w:fill="auto"/>
            <w:vAlign w:val="center"/>
          </w:tcPr>
          <w:p w14:paraId="30E65A7B">
            <w:pPr>
              <w:pStyle w:val="45"/>
              <w:spacing w:line="360" w:lineRule="auto"/>
              <w:jc w:val="center"/>
              <w:rPr>
                <w:rFonts w:hint="default" w:hAnsi="宋体"/>
              </w:rPr>
            </w:pPr>
            <w:r>
              <w:rPr>
                <w:rFonts w:hAnsi="宋体"/>
              </w:rPr>
              <w:t>100</w:t>
            </w:r>
          </w:p>
          <w:p w14:paraId="1029E758">
            <w:pPr>
              <w:pStyle w:val="45"/>
              <w:spacing w:line="360" w:lineRule="auto"/>
              <w:jc w:val="center"/>
              <w:rPr>
                <w:rFonts w:hint="default" w:hAnsi="宋体"/>
              </w:rPr>
            </w:pPr>
            <w:r>
              <w:rPr>
                <w:rFonts w:hAnsi="宋体"/>
              </w:rPr>
              <w:t>90～100</w:t>
            </w:r>
          </w:p>
          <w:p w14:paraId="329CD976">
            <w:pPr>
              <w:pStyle w:val="45"/>
              <w:spacing w:line="360" w:lineRule="auto"/>
              <w:jc w:val="center"/>
              <w:rPr>
                <w:rFonts w:hint="default" w:hAnsi="宋体"/>
              </w:rPr>
            </w:pPr>
            <w:r>
              <w:rPr>
                <w:rFonts w:hAnsi="宋体"/>
              </w:rPr>
              <w:t>75～100</w:t>
            </w:r>
          </w:p>
        </w:tc>
        <w:tc>
          <w:tcPr>
            <w:tcW w:w="1375" w:type="pct"/>
            <w:shd w:val="clear" w:color="auto" w:fill="auto"/>
            <w:vAlign w:val="center"/>
          </w:tcPr>
          <w:p w14:paraId="464F4A13">
            <w:pPr>
              <w:pStyle w:val="45"/>
              <w:spacing w:line="360" w:lineRule="auto"/>
              <w:jc w:val="center"/>
              <w:rPr>
                <w:rFonts w:hint="default" w:hAnsi="宋体"/>
              </w:rPr>
            </w:pPr>
            <w:r>
              <w:rPr>
                <w:rFonts w:hAnsi="宋体"/>
              </w:rPr>
              <w:t>T 0351</w:t>
            </w:r>
          </w:p>
        </w:tc>
      </w:tr>
      <w:tr w14:paraId="7CCEE6A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362" w:hRule="atLeast"/>
          <w:jc w:val="center"/>
        </w:trPr>
        <w:tc>
          <w:tcPr>
            <w:tcW w:w="1625" w:type="pct"/>
            <w:shd w:val="clear" w:color="auto" w:fill="auto"/>
            <w:vAlign w:val="center"/>
          </w:tcPr>
          <w:p w14:paraId="394E61A2">
            <w:pPr>
              <w:pStyle w:val="45"/>
              <w:spacing w:line="360" w:lineRule="auto"/>
              <w:rPr>
                <w:rFonts w:hint="default" w:hAnsi="宋体"/>
              </w:rPr>
            </w:pPr>
            <w:r>
              <w:rPr>
                <w:rFonts w:hAnsi="宋体"/>
              </w:rPr>
              <w:t>外观</w:t>
            </w:r>
          </w:p>
        </w:tc>
        <w:tc>
          <w:tcPr>
            <w:tcW w:w="498" w:type="pct"/>
            <w:shd w:val="clear" w:color="auto" w:fill="auto"/>
            <w:vAlign w:val="center"/>
          </w:tcPr>
          <w:p w14:paraId="0F046317">
            <w:pPr>
              <w:pStyle w:val="45"/>
              <w:spacing w:line="360" w:lineRule="auto"/>
              <w:jc w:val="center"/>
              <w:rPr>
                <w:rFonts w:hint="default" w:hAnsi="宋体"/>
              </w:rPr>
            </w:pPr>
            <w:r>
              <w:rPr>
                <w:rFonts w:hAnsi="宋体"/>
                <w:color w:val="000000"/>
              </w:rPr>
              <w:t>－</w:t>
            </w:r>
          </w:p>
        </w:tc>
        <w:tc>
          <w:tcPr>
            <w:tcW w:w="1502" w:type="pct"/>
            <w:shd w:val="clear" w:color="auto" w:fill="auto"/>
            <w:vAlign w:val="center"/>
          </w:tcPr>
          <w:p w14:paraId="365A17A9">
            <w:pPr>
              <w:pStyle w:val="45"/>
              <w:spacing w:line="360" w:lineRule="auto"/>
              <w:jc w:val="center"/>
              <w:rPr>
                <w:rFonts w:hint="default" w:hAnsi="宋体"/>
              </w:rPr>
            </w:pPr>
            <w:r>
              <w:rPr>
                <w:rFonts w:hAnsi="宋体"/>
              </w:rPr>
              <w:t>无团粒结块</w:t>
            </w:r>
          </w:p>
        </w:tc>
        <w:tc>
          <w:tcPr>
            <w:tcW w:w="1375" w:type="pct"/>
            <w:shd w:val="clear" w:color="auto" w:fill="auto"/>
            <w:vAlign w:val="center"/>
          </w:tcPr>
          <w:p w14:paraId="394A91FA">
            <w:pPr>
              <w:pStyle w:val="45"/>
              <w:spacing w:line="360" w:lineRule="auto"/>
              <w:jc w:val="center"/>
              <w:rPr>
                <w:rFonts w:hint="default" w:hAnsi="宋体"/>
              </w:rPr>
            </w:pPr>
          </w:p>
        </w:tc>
      </w:tr>
      <w:tr w14:paraId="6DD2BA2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362" w:hRule="atLeast"/>
          <w:jc w:val="center"/>
        </w:trPr>
        <w:tc>
          <w:tcPr>
            <w:tcW w:w="1625" w:type="pct"/>
            <w:shd w:val="clear" w:color="auto" w:fill="auto"/>
            <w:vAlign w:val="center"/>
          </w:tcPr>
          <w:p w14:paraId="287395C5">
            <w:pPr>
              <w:pStyle w:val="45"/>
              <w:spacing w:line="360" w:lineRule="auto"/>
              <w:rPr>
                <w:rFonts w:hint="default" w:hAnsi="宋体"/>
              </w:rPr>
            </w:pPr>
            <w:r>
              <w:rPr>
                <w:rFonts w:hAnsi="宋体"/>
              </w:rPr>
              <w:t>亲水系数</w:t>
            </w:r>
          </w:p>
        </w:tc>
        <w:tc>
          <w:tcPr>
            <w:tcW w:w="498" w:type="pct"/>
            <w:shd w:val="clear" w:color="auto" w:fill="auto"/>
            <w:vAlign w:val="center"/>
          </w:tcPr>
          <w:p w14:paraId="75457F34">
            <w:pPr>
              <w:pStyle w:val="45"/>
              <w:spacing w:line="360" w:lineRule="auto"/>
              <w:jc w:val="center"/>
              <w:rPr>
                <w:rFonts w:hint="default" w:hAnsi="宋体"/>
              </w:rPr>
            </w:pPr>
            <w:r>
              <w:rPr>
                <w:rFonts w:hAnsi="宋体"/>
                <w:color w:val="000000"/>
              </w:rPr>
              <w:t>－</w:t>
            </w:r>
          </w:p>
        </w:tc>
        <w:tc>
          <w:tcPr>
            <w:tcW w:w="1502" w:type="pct"/>
            <w:shd w:val="clear" w:color="auto" w:fill="auto"/>
            <w:vAlign w:val="center"/>
          </w:tcPr>
          <w:p w14:paraId="062DE987">
            <w:pPr>
              <w:pStyle w:val="45"/>
              <w:spacing w:line="360" w:lineRule="auto"/>
              <w:jc w:val="center"/>
              <w:rPr>
                <w:rFonts w:hint="default" w:hAnsi="宋体"/>
              </w:rPr>
            </w:pPr>
            <w:r>
              <w:rPr>
                <w:rFonts w:hAnsi="宋体"/>
              </w:rPr>
              <w:t>&lt;1</w:t>
            </w:r>
          </w:p>
        </w:tc>
        <w:tc>
          <w:tcPr>
            <w:tcW w:w="1375" w:type="pct"/>
            <w:shd w:val="clear" w:color="auto" w:fill="auto"/>
            <w:vAlign w:val="center"/>
          </w:tcPr>
          <w:p w14:paraId="2A64886E">
            <w:pPr>
              <w:pStyle w:val="45"/>
              <w:spacing w:line="360" w:lineRule="auto"/>
              <w:jc w:val="center"/>
              <w:rPr>
                <w:rFonts w:hint="default" w:hAnsi="宋体"/>
              </w:rPr>
            </w:pPr>
            <w:r>
              <w:rPr>
                <w:rFonts w:hAnsi="宋体"/>
              </w:rPr>
              <w:t>T 0353</w:t>
            </w:r>
          </w:p>
        </w:tc>
      </w:tr>
      <w:tr w14:paraId="02E7B99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383" w:hRule="atLeast"/>
          <w:jc w:val="center"/>
        </w:trPr>
        <w:tc>
          <w:tcPr>
            <w:tcW w:w="1625" w:type="pct"/>
            <w:shd w:val="clear" w:color="auto" w:fill="auto"/>
            <w:vAlign w:val="center"/>
          </w:tcPr>
          <w:p w14:paraId="483B597B">
            <w:pPr>
              <w:pStyle w:val="45"/>
              <w:spacing w:line="360" w:lineRule="auto"/>
              <w:rPr>
                <w:rFonts w:hint="default" w:hAnsi="宋体"/>
              </w:rPr>
            </w:pPr>
            <w:r>
              <w:rPr>
                <w:rFonts w:hAnsi="宋体"/>
              </w:rPr>
              <w:t>塑性指数</w:t>
            </w:r>
          </w:p>
        </w:tc>
        <w:tc>
          <w:tcPr>
            <w:tcW w:w="498" w:type="pct"/>
            <w:shd w:val="clear" w:color="auto" w:fill="auto"/>
            <w:vAlign w:val="center"/>
          </w:tcPr>
          <w:p w14:paraId="27E4A744">
            <w:pPr>
              <w:pStyle w:val="45"/>
              <w:spacing w:line="360" w:lineRule="auto"/>
              <w:jc w:val="center"/>
              <w:rPr>
                <w:rFonts w:hint="default" w:hAnsi="宋体"/>
              </w:rPr>
            </w:pPr>
            <w:r>
              <w:rPr>
                <w:rFonts w:hAnsi="宋体"/>
              </w:rPr>
              <w:t>％</w:t>
            </w:r>
          </w:p>
        </w:tc>
        <w:tc>
          <w:tcPr>
            <w:tcW w:w="1502" w:type="pct"/>
            <w:shd w:val="clear" w:color="auto" w:fill="auto"/>
            <w:vAlign w:val="center"/>
          </w:tcPr>
          <w:p w14:paraId="09F19E8B">
            <w:pPr>
              <w:pStyle w:val="45"/>
              <w:spacing w:line="360" w:lineRule="auto"/>
              <w:jc w:val="center"/>
              <w:rPr>
                <w:rFonts w:hint="default" w:hAnsi="宋体"/>
              </w:rPr>
            </w:pPr>
            <w:r>
              <w:rPr>
                <w:rFonts w:hAnsi="宋体"/>
              </w:rPr>
              <w:t>&lt;4</w:t>
            </w:r>
          </w:p>
        </w:tc>
        <w:tc>
          <w:tcPr>
            <w:tcW w:w="1375" w:type="pct"/>
            <w:shd w:val="clear" w:color="auto" w:fill="auto"/>
            <w:vAlign w:val="center"/>
          </w:tcPr>
          <w:p w14:paraId="155BEEE0">
            <w:pPr>
              <w:pStyle w:val="45"/>
              <w:spacing w:line="360" w:lineRule="auto"/>
              <w:jc w:val="center"/>
              <w:rPr>
                <w:rFonts w:hint="default" w:hAnsi="宋体"/>
              </w:rPr>
            </w:pPr>
            <w:r>
              <w:rPr>
                <w:rFonts w:hAnsi="宋体"/>
              </w:rPr>
              <w:t>T 0354</w:t>
            </w:r>
          </w:p>
        </w:tc>
      </w:tr>
      <w:tr w14:paraId="04EE93E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404" w:hRule="atLeast"/>
          <w:jc w:val="center"/>
        </w:trPr>
        <w:tc>
          <w:tcPr>
            <w:tcW w:w="1625" w:type="pct"/>
            <w:shd w:val="clear" w:color="auto" w:fill="auto"/>
            <w:vAlign w:val="center"/>
          </w:tcPr>
          <w:p w14:paraId="0EC73112">
            <w:pPr>
              <w:pStyle w:val="45"/>
              <w:spacing w:line="360" w:lineRule="auto"/>
              <w:rPr>
                <w:rFonts w:hint="default" w:hAnsi="宋体"/>
              </w:rPr>
            </w:pPr>
            <w:r>
              <w:rPr>
                <w:rFonts w:hAnsi="宋体"/>
              </w:rPr>
              <w:t>加热安定性</w:t>
            </w:r>
          </w:p>
        </w:tc>
        <w:tc>
          <w:tcPr>
            <w:tcW w:w="498" w:type="pct"/>
            <w:shd w:val="clear" w:color="auto" w:fill="auto"/>
            <w:vAlign w:val="center"/>
          </w:tcPr>
          <w:p w14:paraId="0AB22BE7">
            <w:pPr>
              <w:pStyle w:val="45"/>
              <w:spacing w:line="360" w:lineRule="auto"/>
              <w:jc w:val="center"/>
              <w:rPr>
                <w:rFonts w:hint="default" w:hAnsi="宋体"/>
              </w:rPr>
            </w:pPr>
            <w:r>
              <w:rPr>
                <w:rFonts w:hAnsi="宋体"/>
                <w:color w:val="000000"/>
              </w:rPr>
              <w:t>－</w:t>
            </w:r>
          </w:p>
        </w:tc>
        <w:tc>
          <w:tcPr>
            <w:tcW w:w="1502" w:type="pct"/>
            <w:shd w:val="clear" w:color="auto" w:fill="auto"/>
            <w:vAlign w:val="center"/>
          </w:tcPr>
          <w:p w14:paraId="704AF569">
            <w:pPr>
              <w:pStyle w:val="45"/>
              <w:spacing w:line="360" w:lineRule="auto"/>
              <w:jc w:val="center"/>
              <w:rPr>
                <w:rFonts w:hint="default" w:hAnsi="宋体"/>
              </w:rPr>
            </w:pPr>
            <w:r>
              <w:rPr>
                <w:rFonts w:hAnsi="宋体"/>
              </w:rPr>
              <w:t>实测记录</w:t>
            </w:r>
          </w:p>
        </w:tc>
        <w:tc>
          <w:tcPr>
            <w:tcW w:w="1375" w:type="pct"/>
            <w:shd w:val="clear" w:color="auto" w:fill="auto"/>
            <w:vAlign w:val="center"/>
          </w:tcPr>
          <w:p w14:paraId="06B5BBB4">
            <w:pPr>
              <w:pStyle w:val="45"/>
              <w:spacing w:line="360" w:lineRule="auto"/>
              <w:jc w:val="center"/>
              <w:rPr>
                <w:rFonts w:hint="default" w:hAnsi="宋体"/>
              </w:rPr>
            </w:pPr>
            <w:r>
              <w:rPr>
                <w:rFonts w:hAnsi="宋体"/>
              </w:rPr>
              <w:t>T 0355</w:t>
            </w:r>
          </w:p>
        </w:tc>
      </w:tr>
    </w:tbl>
    <w:p w14:paraId="55B9FBC4">
      <w:pPr>
        <w:ind w:firstLine="480"/>
        <w:rPr>
          <w:rFonts w:ascii="宋体" w:hAnsi="宋体"/>
          <w:color w:val="000000"/>
          <w:szCs w:val="24"/>
        </w:rPr>
      </w:pPr>
      <w:r>
        <w:rPr>
          <w:rFonts w:hint="eastAsia" w:ascii="宋体" w:hAnsi="宋体"/>
          <w:color w:val="000000"/>
          <w:szCs w:val="24"/>
        </w:rPr>
        <w:t>（</w:t>
      </w:r>
      <w:r>
        <w:rPr>
          <w:rFonts w:ascii="宋体" w:hAnsi="宋体"/>
          <w:color w:val="000000"/>
          <w:szCs w:val="24"/>
        </w:rPr>
        <w:t>9</w:t>
      </w:r>
      <w:r>
        <w:rPr>
          <w:rFonts w:hint="eastAsia" w:ascii="宋体" w:hAnsi="宋体"/>
          <w:color w:val="000000"/>
          <w:szCs w:val="24"/>
        </w:rPr>
        <w:t>）沥青混合料</w:t>
      </w:r>
    </w:p>
    <w:p w14:paraId="5AFC8171">
      <w:pPr>
        <w:ind w:firstLine="480"/>
        <w:rPr>
          <w:rFonts w:ascii="宋体" w:hAnsi="宋体"/>
          <w:color w:val="000000"/>
          <w:szCs w:val="24"/>
        </w:rPr>
      </w:pPr>
      <w:r>
        <w:rPr>
          <w:rFonts w:hint="eastAsia" w:ascii="宋体" w:hAnsi="宋体"/>
          <w:color w:val="000000"/>
          <w:szCs w:val="24"/>
        </w:rPr>
        <w:t>沥青混合料的矿料级配范围见《公路沥青路面设计规范》(JTG D50--2017)条文说明表7-3、-4，设计目标配合比可取中值，配合比设计按马歇尔试验法进行，技术指标按夏炎热区重交通，设计空隙率按4%进行控制，技术标准应符合《公路沥青路面施工技术规范》(JTG F40--2004)</w:t>
      </w:r>
      <w:r>
        <w:rPr>
          <w:rFonts w:hint="eastAsia" w:ascii="宋体" w:hAnsi="宋体"/>
          <w:color w:val="000000"/>
          <w:szCs w:val="24"/>
          <w:lang w:val="zh-CN"/>
        </w:rPr>
        <w:t>和《广州市道路工程路面结构设计指引（印发版本）》的要求</w:t>
      </w:r>
      <w:r>
        <w:rPr>
          <w:rFonts w:hint="eastAsia" w:ascii="宋体" w:hAnsi="宋体"/>
          <w:color w:val="000000"/>
          <w:szCs w:val="24"/>
        </w:rPr>
        <w:t>。</w:t>
      </w:r>
    </w:p>
    <w:p w14:paraId="23FEB3D4">
      <w:pPr>
        <w:ind w:firstLine="480"/>
        <w:rPr>
          <w:rFonts w:ascii="宋体" w:hAnsi="宋体"/>
          <w:color w:val="000000"/>
          <w:szCs w:val="24"/>
        </w:rPr>
      </w:pPr>
      <w:r>
        <w:rPr>
          <w:rFonts w:hint="eastAsia" w:ascii="宋体" w:hAnsi="宋体"/>
          <w:color w:val="000000"/>
          <w:szCs w:val="24"/>
        </w:rPr>
        <w:t>沥青混合料的矿料级配应符合工程规定的设计级配范围。</w:t>
      </w:r>
    </w:p>
    <w:p w14:paraId="7D459571">
      <w:pPr>
        <w:autoSpaceDE w:val="0"/>
        <w:autoSpaceDN w:val="0"/>
        <w:adjustRightInd w:val="0"/>
        <w:ind w:firstLine="442"/>
        <w:jc w:val="center"/>
        <w:rPr>
          <w:rFonts w:hint="eastAsia" w:ascii="宋体" w:hAnsi="宋体"/>
          <w:b/>
          <w:color w:val="000000"/>
          <w:kern w:val="0"/>
          <w:sz w:val="22"/>
          <w:szCs w:val="21"/>
          <w:lang w:val="zh-CN"/>
        </w:rPr>
      </w:pPr>
      <w:r>
        <w:rPr>
          <w:rFonts w:hint="eastAsia" w:ascii="宋体" w:hAnsi="宋体"/>
          <w:b/>
          <w:color w:val="000000"/>
          <w:kern w:val="0"/>
          <w:sz w:val="22"/>
          <w:szCs w:val="21"/>
          <w:lang w:val="zh-CN"/>
        </w:rPr>
        <w:t>沥青混合料矿料级配范围</w:t>
      </w:r>
    </w:p>
    <w:p w14:paraId="48E4D04A">
      <w:pPr>
        <w:pStyle w:val="8"/>
        <w:ind w:left="-1" w:leftChars="-100" w:hanging="239" w:hangingChars="133"/>
        <w:rPr>
          <w:lang w:val="zh-CN"/>
        </w:rPr>
      </w:pPr>
      <w:r>
        <w:rPr>
          <w:sz w:val="18"/>
          <w:szCs w:val="18"/>
        </w:rPr>
        <w:drawing>
          <wp:inline distT="0" distB="0" distL="114300" distR="114300">
            <wp:extent cx="6177915" cy="2836545"/>
            <wp:effectExtent l="0" t="0" r="13335"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0"/>
                    <a:stretch>
                      <a:fillRect/>
                    </a:stretch>
                  </pic:blipFill>
                  <pic:spPr>
                    <a:xfrm>
                      <a:off x="0" y="0"/>
                      <a:ext cx="6177915" cy="2836545"/>
                    </a:xfrm>
                    <a:prstGeom prst="rect">
                      <a:avLst/>
                    </a:prstGeom>
                    <a:noFill/>
                    <a:ln>
                      <a:noFill/>
                    </a:ln>
                  </pic:spPr>
                </pic:pic>
              </a:graphicData>
            </a:graphic>
          </wp:inline>
        </w:drawing>
      </w:r>
    </w:p>
    <w:p w14:paraId="53081B69">
      <w:pPr>
        <w:pStyle w:val="180"/>
        <w:ind w:firstLineChars="200"/>
        <w:rPr>
          <w:rFonts w:eastAsia="宋体"/>
          <w:color w:val="000000"/>
          <w:szCs w:val="24"/>
        </w:rPr>
      </w:pPr>
      <w:r>
        <w:rPr>
          <w:rFonts w:hint="eastAsia" w:eastAsia="宋体"/>
          <w:color w:val="000000"/>
          <w:szCs w:val="24"/>
        </w:rPr>
        <w:t>沥青混合料技术要求应符合下表的要求。</w:t>
      </w:r>
    </w:p>
    <w:p w14:paraId="7910692D">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沥青混合料使用性能指标</w:t>
      </w:r>
    </w:p>
    <w:tbl>
      <w:tblPr>
        <w:tblStyle w:val="88"/>
        <w:tblW w:w="7171"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3769"/>
        <w:gridCol w:w="1701"/>
        <w:gridCol w:w="1701"/>
      </w:tblGrid>
      <w:tr w14:paraId="77F1C57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tcBorders>
              <w:tl2br w:val="single" w:color="auto" w:sz="4" w:space="0"/>
            </w:tcBorders>
            <w:shd w:val="clear" w:color="auto" w:fill="auto"/>
          </w:tcPr>
          <w:p w14:paraId="059FE1FB">
            <w:pPr>
              <w:autoSpaceDE w:val="0"/>
              <w:autoSpaceDN w:val="0"/>
              <w:adjustRightInd w:val="0"/>
              <w:ind w:firstLine="0" w:firstLineChars="0"/>
              <w:jc w:val="center"/>
              <w:rPr>
                <w:rFonts w:ascii="宋体" w:hAnsi="宋体"/>
                <w:sz w:val="21"/>
                <w:szCs w:val="21"/>
              </w:rPr>
            </w:pPr>
            <w:r>
              <w:rPr>
                <w:rFonts w:hint="eastAsia" w:ascii="宋体" w:hAnsi="宋体"/>
                <w:sz w:val="21"/>
                <w:szCs w:val="21"/>
              </w:rPr>
              <w:t>混合料类别</w:t>
            </w:r>
          </w:p>
          <w:p w14:paraId="61AD0CC2">
            <w:pPr>
              <w:autoSpaceDE w:val="0"/>
              <w:autoSpaceDN w:val="0"/>
              <w:adjustRightInd w:val="0"/>
              <w:ind w:firstLine="0" w:firstLineChars="0"/>
              <w:jc w:val="center"/>
              <w:rPr>
                <w:rFonts w:ascii="宋体" w:hAnsi="宋体"/>
                <w:sz w:val="21"/>
                <w:szCs w:val="21"/>
              </w:rPr>
            </w:pPr>
            <w:r>
              <w:rPr>
                <w:rFonts w:hint="eastAsia" w:ascii="宋体" w:hAnsi="宋体"/>
                <w:sz w:val="21"/>
                <w:szCs w:val="21"/>
              </w:rPr>
              <w:t>试验</w:t>
            </w:r>
          </w:p>
        </w:tc>
        <w:tc>
          <w:tcPr>
            <w:tcW w:w="1701" w:type="dxa"/>
            <w:shd w:val="clear" w:color="auto" w:fill="auto"/>
          </w:tcPr>
          <w:p w14:paraId="46CF5F9E">
            <w:pPr>
              <w:autoSpaceDE w:val="0"/>
              <w:autoSpaceDN w:val="0"/>
              <w:adjustRightInd w:val="0"/>
              <w:ind w:firstLine="0" w:firstLineChars="0"/>
              <w:jc w:val="center"/>
              <w:rPr>
                <w:rFonts w:ascii="宋体" w:hAnsi="宋体"/>
                <w:sz w:val="21"/>
                <w:szCs w:val="21"/>
              </w:rPr>
            </w:pPr>
            <w:r>
              <w:rPr>
                <w:rFonts w:hint="eastAsia" w:ascii="宋体" w:hAnsi="宋体"/>
                <w:sz w:val="21"/>
                <w:szCs w:val="21"/>
              </w:rPr>
              <w:t>普通沥青混合料（中、下面层）</w:t>
            </w:r>
          </w:p>
        </w:tc>
        <w:tc>
          <w:tcPr>
            <w:tcW w:w="1701" w:type="dxa"/>
          </w:tcPr>
          <w:p w14:paraId="1C9414E1">
            <w:pPr>
              <w:autoSpaceDE w:val="0"/>
              <w:autoSpaceDN w:val="0"/>
              <w:adjustRightInd w:val="0"/>
              <w:ind w:firstLine="0" w:firstLineChars="0"/>
              <w:jc w:val="center"/>
              <w:rPr>
                <w:rFonts w:ascii="宋体" w:hAnsi="宋体"/>
                <w:sz w:val="21"/>
                <w:szCs w:val="21"/>
              </w:rPr>
            </w:pPr>
            <w:r>
              <w:rPr>
                <w:rFonts w:hint="eastAsia" w:ascii="宋体" w:hAnsi="宋体"/>
                <w:sz w:val="21"/>
                <w:szCs w:val="21"/>
              </w:rPr>
              <w:t>SMA混合料（改性沥青）</w:t>
            </w:r>
          </w:p>
        </w:tc>
      </w:tr>
      <w:tr w14:paraId="1363C21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11315C3F">
            <w:pPr>
              <w:autoSpaceDE w:val="0"/>
              <w:autoSpaceDN w:val="0"/>
              <w:adjustRightInd w:val="0"/>
              <w:ind w:firstLine="0" w:firstLineChars="0"/>
              <w:jc w:val="center"/>
              <w:rPr>
                <w:rFonts w:ascii="宋体" w:hAnsi="宋体"/>
                <w:sz w:val="21"/>
                <w:szCs w:val="21"/>
              </w:rPr>
            </w:pPr>
            <w:r>
              <w:rPr>
                <w:rFonts w:hint="eastAsia" w:ascii="宋体" w:hAnsi="宋体"/>
                <w:sz w:val="21"/>
                <w:szCs w:val="21"/>
              </w:rPr>
              <w:t>车撤试验动稳定度（次/mm）</w:t>
            </w:r>
          </w:p>
        </w:tc>
        <w:tc>
          <w:tcPr>
            <w:tcW w:w="1701" w:type="dxa"/>
            <w:shd w:val="clear" w:color="auto" w:fill="auto"/>
          </w:tcPr>
          <w:p w14:paraId="2DAC93A9">
            <w:pPr>
              <w:autoSpaceDE w:val="0"/>
              <w:autoSpaceDN w:val="0"/>
              <w:adjustRightInd w:val="0"/>
              <w:ind w:firstLine="0" w:firstLineChars="0"/>
              <w:jc w:val="center"/>
              <w:rPr>
                <w:rFonts w:ascii="宋体" w:hAnsi="宋体"/>
                <w:sz w:val="21"/>
                <w:szCs w:val="21"/>
              </w:rPr>
            </w:pPr>
            <w:r>
              <w:rPr>
                <w:rFonts w:hint="eastAsia" w:ascii="宋体" w:hAnsi="宋体"/>
                <w:sz w:val="21"/>
                <w:szCs w:val="21"/>
              </w:rPr>
              <w:t>≥1000</w:t>
            </w:r>
          </w:p>
        </w:tc>
        <w:tc>
          <w:tcPr>
            <w:tcW w:w="1701" w:type="dxa"/>
          </w:tcPr>
          <w:p w14:paraId="50A98BC4">
            <w:pPr>
              <w:autoSpaceDE w:val="0"/>
              <w:autoSpaceDN w:val="0"/>
              <w:adjustRightInd w:val="0"/>
              <w:ind w:firstLine="0" w:firstLineChars="0"/>
              <w:jc w:val="center"/>
              <w:rPr>
                <w:rFonts w:ascii="宋体" w:hAnsi="宋体"/>
                <w:sz w:val="21"/>
                <w:szCs w:val="21"/>
              </w:rPr>
            </w:pPr>
            <w:r>
              <w:rPr>
                <w:rFonts w:hint="eastAsia" w:ascii="宋体" w:hAnsi="宋体"/>
                <w:sz w:val="21"/>
                <w:szCs w:val="21"/>
              </w:rPr>
              <w:t>≥3000</w:t>
            </w:r>
          </w:p>
        </w:tc>
      </w:tr>
      <w:tr w14:paraId="1ADD981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75197E56">
            <w:pPr>
              <w:autoSpaceDE w:val="0"/>
              <w:autoSpaceDN w:val="0"/>
              <w:adjustRightInd w:val="0"/>
              <w:ind w:firstLine="0" w:firstLineChars="0"/>
              <w:jc w:val="center"/>
              <w:rPr>
                <w:rFonts w:ascii="宋体" w:hAnsi="宋体"/>
                <w:sz w:val="21"/>
                <w:szCs w:val="21"/>
              </w:rPr>
            </w:pPr>
            <w:r>
              <w:rPr>
                <w:rFonts w:hint="eastAsia" w:ascii="宋体" w:hAnsi="宋体"/>
                <w:sz w:val="21"/>
                <w:szCs w:val="21"/>
              </w:rPr>
              <w:t>浸水马歇尔试验残留稳定度（％）</w:t>
            </w:r>
          </w:p>
        </w:tc>
        <w:tc>
          <w:tcPr>
            <w:tcW w:w="1701" w:type="dxa"/>
            <w:shd w:val="clear" w:color="auto" w:fill="auto"/>
          </w:tcPr>
          <w:p w14:paraId="6E1099DB">
            <w:pPr>
              <w:autoSpaceDE w:val="0"/>
              <w:autoSpaceDN w:val="0"/>
              <w:adjustRightInd w:val="0"/>
              <w:ind w:firstLine="0" w:firstLineChars="0"/>
              <w:jc w:val="center"/>
              <w:rPr>
                <w:rFonts w:ascii="宋体" w:hAnsi="宋体"/>
                <w:sz w:val="21"/>
                <w:szCs w:val="21"/>
              </w:rPr>
            </w:pPr>
            <w:r>
              <w:rPr>
                <w:rFonts w:hint="eastAsia" w:ascii="宋体" w:hAnsi="宋体"/>
                <w:sz w:val="21"/>
                <w:szCs w:val="21"/>
              </w:rPr>
              <w:t>≥80</w:t>
            </w:r>
          </w:p>
        </w:tc>
        <w:tc>
          <w:tcPr>
            <w:tcW w:w="1701" w:type="dxa"/>
          </w:tcPr>
          <w:p w14:paraId="0DEB6710">
            <w:pPr>
              <w:autoSpaceDE w:val="0"/>
              <w:autoSpaceDN w:val="0"/>
              <w:adjustRightInd w:val="0"/>
              <w:ind w:firstLine="0" w:firstLineChars="0"/>
              <w:jc w:val="center"/>
              <w:rPr>
                <w:rFonts w:ascii="宋体" w:hAnsi="宋体"/>
                <w:sz w:val="21"/>
                <w:szCs w:val="21"/>
              </w:rPr>
            </w:pPr>
            <w:r>
              <w:rPr>
                <w:rFonts w:hint="eastAsia" w:ascii="宋体" w:hAnsi="宋体"/>
                <w:sz w:val="21"/>
                <w:szCs w:val="21"/>
              </w:rPr>
              <w:t>≥80</w:t>
            </w:r>
          </w:p>
        </w:tc>
      </w:tr>
      <w:tr w14:paraId="23852E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421FBA6A">
            <w:pPr>
              <w:autoSpaceDE w:val="0"/>
              <w:autoSpaceDN w:val="0"/>
              <w:adjustRightInd w:val="0"/>
              <w:ind w:firstLine="0" w:firstLineChars="0"/>
              <w:jc w:val="center"/>
              <w:rPr>
                <w:rFonts w:ascii="宋体" w:hAnsi="宋体"/>
                <w:sz w:val="21"/>
                <w:szCs w:val="21"/>
              </w:rPr>
            </w:pPr>
            <w:r>
              <w:rPr>
                <w:rFonts w:hint="eastAsia" w:ascii="宋体" w:hAnsi="宋体"/>
                <w:sz w:val="21"/>
                <w:szCs w:val="21"/>
              </w:rPr>
              <w:t>冻融劈裂试验的残留强比度（％）</w:t>
            </w:r>
          </w:p>
        </w:tc>
        <w:tc>
          <w:tcPr>
            <w:tcW w:w="1701" w:type="dxa"/>
            <w:shd w:val="clear" w:color="auto" w:fill="auto"/>
          </w:tcPr>
          <w:p w14:paraId="563F401C">
            <w:pPr>
              <w:autoSpaceDE w:val="0"/>
              <w:autoSpaceDN w:val="0"/>
              <w:adjustRightInd w:val="0"/>
              <w:ind w:firstLine="0" w:firstLineChars="0"/>
              <w:jc w:val="center"/>
              <w:rPr>
                <w:rFonts w:ascii="宋体" w:hAnsi="宋体"/>
                <w:sz w:val="21"/>
                <w:szCs w:val="21"/>
              </w:rPr>
            </w:pPr>
            <w:r>
              <w:rPr>
                <w:rFonts w:hint="eastAsia" w:ascii="宋体" w:hAnsi="宋体"/>
                <w:sz w:val="21"/>
                <w:szCs w:val="21"/>
              </w:rPr>
              <w:t>≥75</w:t>
            </w:r>
          </w:p>
        </w:tc>
        <w:tc>
          <w:tcPr>
            <w:tcW w:w="1701" w:type="dxa"/>
          </w:tcPr>
          <w:p w14:paraId="538B5693">
            <w:pPr>
              <w:autoSpaceDE w:val="0"/>
              <w:autoSpaceDN w:val="0"/>
              <w:adjustRightInd w:val="0"/>
              <w:ind w:firstLine="0" w:firstLineChars="0"/>
              <w:jc w:val="center"/>
              <w:rPr>
                <w:rFonts w:ascii="宋体" w:hAnsi="宋体"/>
                <w:sz w:val="21"/>
                <w:szCs w:val="21"/>
              </w:rPr>
            </w:pPr>
            <w:r>
              <w:rPr>
                <w:rFonts w:hint="eastAsia" w:ascii="宋体" w:hAnsi="宋体"/>
                <w:sz w:val="21"/>
                <w:szCs w:val="21"/>
              </w:rPr>
              <w:t>≥80</w:t>
            </w:r>
          </w:p>
        </w:tc>
      </w:tr>
      <w:tr w14:paraId="4E80619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4756C4D0">
            <w:pPr>
              <w:autoSpaceDE w:val="0"/>
              <w:autoSpaceDN w:val="0"/>
              <w:adjustRightInd w:val="0"/>
              <w:ind w:firstLine="0" w:firstLineChars="0"/>
              <w:jc w:val="center"/>
              <w:rPr>
                <w:rFonts w:ascii="宋体" w:hAnsi="宋体"/>
                <w:sz w:val="21"/>
                <w:szCs w:val="21"/>
              </w:rPr>
            </w:pPr>
            <w:r>
              <w:rPr>
                <w:rFonts w:hint="eastAsia" w:ascii="宋体" w:hAnsi="宋体"/>
                <w:sz w:val="21"/>
                <w:szCs w:val="21"/>
              </w:rPr>
              <w:t>低温弯曲试验破坏应变（με）</w:t>
            </w:r>
          </w:p>
        </w:tc>
        <w:tc>
          <w:tcPr>
            <w:tcW w:w="1701" w:type="dxa"/>
            <w:shd w:val="clear" w:color="auto" w:fill="auto"/>
          </w:tcPr>
          <w:p w14:paraId="66C93C3F">
            <w:pPr>
              <w:autoSpaceDE w:val="0"/>
              <w:autoSpaceDN w:val="0"/>
              <w:adjustRightInd w:val="0"/>
              <w:ind w:firstLine="0" w:firstLineChars="0"/>
              <w:jc w:val="center"/>
              <w:rPr>
                <w:rFonts w:ascii="宋体" w:hAnsi="宋体"/>
                <w:sz w:val="21"/>
                <w:szCs w:val="21"/>
              </w:rPr>
            </w:pPr>
            <w:r>
              <w:rPr>
                <w:rFonts w:hint="eastAsia" w:ascii="宋体" w:hAnsi="宋体"/>
                <w:sz w:val="21"/>
                <w:szCs w:val="21"/>
              </w:rPr>
              <w:t>≥2000</w:t>
            </w:r>
          </w:p>
        </w:tc>
        <w:tc>
          <w:tcPr>
            <w:tcW w:w="1701" w:type="dxa"/>
          </w:tcPr>
          <w:p w14:paraId="5119312D">
            <w:pPr>
              <w:autoSpaceDE w:val="0"/>
              <w:autoSpaceDN w:val="0"/>
              <w:adjustRightInd w:val="0"/>
              <w:ind w:firstLine="0" w:firstLineChars="0"/>
              <w:jc w:val="center"/>
              <w:rPr>
                <w:rFonts w:ascii="宋体" w:hAnsi="宋体"/>
                <w:sz w:val="21"/>
                <w:szCs w:val="21"/>
              </w:rPr>
            </w:pPr>
          </w:p>
        </w:tc>
      </w:tr>
      <w:tr w14:paraId="5FB4D92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2E2CBA52">
            <w:pPr>
              <w:autoSpaceDE w:val="0"/>
              <w:autoSpaceDN w:val="0"/>
              <w:adjustRightInd w:val="0"/>
              <w:ind w:firstLine="0" w:firstLineChars="0"/>
              <w:jc w:val="center"/>
              <w:rPr>
                <w:rFonts w:ascii="宋体" w:hAnsi="宋体"/>
                <w:sz w:val="21"/>
                <w:szCs w:val="21"/>
              </w:rPr>
            </w:pPr>
            <w:r>
              <w:rPr>
                <w:rFonts w:hint="eastAsia" w:ascii="宋体" w:hAnsi="宋体"/>
                <w:sz w:val="21"/>
                <w:szCs w:val="21"/>
              </w:rPr>
              <w:t>渗水系数（ml/min）</w:t>
            </w:r>
          </w:p>
        </w:tc>
        <w:tc>
          <w:tcPr>
            <w:tcW w:w="1701" w:type="dxa"/>
            <w:shd w:val="clear" w:color="auto" w:fill="auto"/>
          </w:tcPr>
          <w:p w14:paraId="04F494D0">
            <w:pPr>
              <w:autoSpaceDE w:val="0"/>
              <w:autoSpaceDN w:val="0"/>
              <w:adjustRightInd w:val="0"/>
              <w:ind w:firstLine="0" w:firstLineChars="0"/>
              <w:jc w:val="center"/>
              <w:rPr>
                <w:rFonts w:ascii="宋体" w:hAnsi="宋体"/>
                <w:sz w:val="21"/>
                <w:szCs w:val="21"/>
              </w:rPr>
            </w:pPr>
            <w:r>
              <w:rPr>
                <w:rFonts w:hint="eastAsia" w:ascii="宋体" w:hAnsi="宋体"/>
                <w:sz w:val="21"/>
                <w:szCs w:val="21"/>
              </w:rPr>
              <w:t>≤120</w:t>
            </w:r>
          </w:p>
        </w:tc>
        <w:tc>
          <w:tcPr>
            <w:tcW w:w="1701" w:type="dxa"/>
          </w:tcPr>
          <w:p w14:paraId="35FDABCE">
            <w:pPr>
              <w:autoSpaceDE w:val="0"/>
              <w:autoSpaceDN w:val="0"/>
              <w:adjustRightInd w:val="0"/>
              <w:ind w:firstLine="0" w:firstLineChars="0"/>
              <w:jc w:val="center"/>
              <w:rPr>
                <w:rFonts w:ascii="宋体" w:hAnsi="宋体"/>
                <w:sz w:val="21"/>
                <w:szCs w:val="21"/>
              </w:rPr>
            </w:pPr>
            <w:r>
              <w:rPr>
                <w:rFonts w:hint="eastAsia" w:ascii="宋体" w:hAnsi="宋体"/>
                <w:sz w:val="21"/>
                <w:szCs w:val="21"/>
              </w:rPr>
              <w:t>≤</w:t>
            </w:r>
            <w:r>
              <w:rPr>
                <w:rFonts w:ascii="宋体" w:hAnsi="宋体"/>
                <w:sz w:val="21"/>
                <w:szCs w:val="21"/>
              </w:rPr>
              <w:t>8</w:t>
            </w:r>
            <w:r>
              <w:rPr>
                <w:rFonts w:hint="eastAsia" w:ascii="宋体" w:hAnsi="宋体"/>
                <w:sz w:val="21"/>
                <w:szCs w:val="21"/>
              </w:rPr>
              <w:t>0</w:t>
            </w:r>
          </w:p>
        </w:tc>
      </w:tr>
      <w:tr w14:paraId="0E6FD1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37FC56EF">
            <w:pPr>
              <w:autoSpaceDE w:val="0"/>
              <w:autoSpaceDN w:val="0"/>
              <w:adjustRightInd w:val="0"/>
              <w:ind w:firstLine="0" w:firstLineChars="0"/>
              <w:jc w:val="center"/>
              <w:rPr>
                <w:rFonts w:ascii="宋体" w:hAnsi="宋体"/>
                <w:sz w:val="21"/>
                <w:szCs w:val="21"/>
              </w:rPr>
            </w:pPr>
            <w:r>
              <w:rPr>
                <w:rFonts w:hint="eastAsia" w:ascii="宋体" w:hAnsi="宋体"/>
                <w:sz w:val="21"/>
                <w:szCs w:val="21"/>
              </w:rPr>
              <w:t>横向力系数SFC</w:t>
            </w:r>
            <w:r>
              <w:rPr>
                <w:rFonts w:hint="eastAsia" w:ascii="宋体" w:hAnsi="宋体"/>
                <w:sz w:val="21"/>
                <w:szCs w:val="21"/>
                <w:vertAlign w:val="subscript"/>
              </w:rPr>
              <w:t>60</w:t>
            </w:r>
          </w:p>
        </w:tc>
        <w:tc>
          <w:tcPr>
            <w:tcW w:w="1701" w:type="dxa"/>
            <w:shd w:val="clear" w:color="auto" w:fill="auto"/>
          </w:tcPr>
          <w:p w14:paraId="669FE284">
            <w:pPr>
              <w:autoSpaceDE w:val="0"/>
              <w:autoSpaceDN w:val="0"/>
              <w:adjustRightInd w:val="0"/>
              <w:ind w:firstLine="0" w:firstLineChars="0"/>
              <w:jc w:val="center"/>
              <w:rPr>
                <w:rFonts w:ascii="宋体" w:hAnsi="宋体"/>
                <w:sz w:val="21"/>
                <w:szCs w:val="21"/>
              </w:rPr>
            </w:pPr>
            <w:r>
              <w:rPr>
                <w:rFonts w:hint="eastAsia" w:ascii="宋体" w:hAnsi="宋体"/>
                <w:sz w:val="21"/>
                <w:szCs w:val="21"/>
              </w:rPr>
              <w:t>——</w:t>
            </w:r>
          </w:p>
        </w:tc>
        <w:tc>
          <w:tcPr>
            <w:tcW w:w="1701" w:type="dxa"/>
          </w:tcPr>
          <w:p w14:paraId="1EC1DE09">
            <w:pPr>
              <w:autoSpaceDE w:val="0"/>
              <w:autoSpaceDN w:val="0"/>
              <w:adjustRightInd w:val="0"/>
              <w:ind w:firstLine="0" w:firstLineChars="0"/>
              <w:jc w:val="center"/>
              <w:rPr>
                <w:rFonts w:ascii="宋体" w:hAnsi="宋体"/>
                <w:sz w:val="21"/>
                <w:szCs w:val="21"/>
              </w:rPr>
            </w:pPr>
            <w:r>
              <w:rPr>
                <w:rFonts w:hint="eastAsia" w:ascii="宋体" w:hAnsi="宋体"/>
                <w:sz w:val="21"/>
                <w:szCs w:val="21"/>
              </w:rPr>
              <w:t>——</w:t>
            </w:r>
          </w:p>
        </w:tc>
      </w:tr>
      <w:tr w14:paraId="0A2A342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769" w:type="dxa"/>
            <w:shd w:val="clear" w:color="auto" w:fill="auto"/>
          </w:tcPr>
          <w:p w14:paraId="72BDE64A">
            <w:pPr>
              <w:autoSpaceDE w:val="0"/>
              <w:autoSpaceDN w:val="0"/>
              <w:adjustRightInd w:val="0"/>
              <w:ind w:firstLine="0" w:firstLineChars="0"/>
              <w:jc w:val="center"/>
              <w:rPr>
                <w:rFonts w:ascii="宋体" w:hAnsi="宋体"/>
                <w:sz w:val="21"/>
                <w:szCs w:val="21"/>
              </w:rPr>
            </w:pPr>
            <w:r>
              <w:rPr>
                <w:rFonts w:hint="eastAsia" w:ascii="宋体" w:hAnsi="宋体"/>
                <w:sz w:val="21"/>
                <w:szCs w:val="21"/>
              </w:rPr>
              <w:t>构造深度TD（mm）</w:t>
            </w:r>
          </w:p>
        </w:tc>
        <w:tc>
          <w:tcPr>
            <w:tcW w:w="1701" w:type="dxa"/>
            <w:shd w:val="clear" w:color="auto" w:fill="auto"/>
          </w:tcPr>
          <w:p w14:paraId="7A38AB3A">
            <w:pPr>
              <w:autoSpaceDE w:val="0"/>
              <w:autoSpaceDN w:val="0"/>
              <w:adjustRightInd w:val="0"/>
              <w:ind w:firstLine="0" w:firstLineChars="0"/>
              <w:jc w:val="center"/>
              <w:rPr>
                <w:rFonts w:ascii="宋体" w:hAnsi="宋体"/>
                <w:sz w:val="21"/>
                <w:szCs w:val="21"/>
              </w:rPr>
            </w:pPr>
            <w:r>
              <w:rPr>
                <w:rFonts w:hint="eastAsia" w:ascii="宋体" w:hAnsi="宋体"/>
                <w:sz w:val="21"/>
                <w:szCs w:val="21"/>
              </w:rPr>
              <w:t>——</w:t>
            </w:r>
          </w:p>
        </w:tc>
        <w:tc>
          <w:tcPr>
            <w:tcW w:w="1701" w:type="dxa"/>
          </w:tcPr>
          <w:p w14:paraId="6B0DC422">
            <w:pPr>
              <w:autoSpaceDE w:val="0"/>
              <w:autoSpaceDN w:val="0"/>
              <w:adjustRightInd w:val="0"/>
              <w:ind w:firstLine="0" w:firstLineChars="0"/>
              <w:jc w:val="center"/>
              <w:rPr>
                <w:rFonts w:ascii="宋体" w:hAnsi="宋体"/>
                <w:sz w:val="21"/>
                <w:szCs w:val="21"/>
              </w:rPr>
            </w:pPr>
            <w:r>
              <w:rPr>
                <w:rFonts w:hint="eastAsia" w:ascii="宋体" w:hAnsi="宋体"/>
                <w:sz w:val="21"/>
                <w:szCs w:val="21"/>
              </w:rPr>
              <w:t>——</w:t>
            </w:r>
          </w:p>
        </w:tc>
      </w:tr>
    </w:tbl>
    <w:p w14:paraId="101E9F7F">
      <w:pPr>
        <w:ind w:firstLine="480"/>
        <w:rPr>
          <w:rFonts w:ascii="宋体" w:hAnsi="宋体"/>
          <w:color w:val="000000"/>
          <w:szCs w:val="24"/>
        </w:rPr>
      </w:pPr>
      <w:r>
        <w:rPr>
          <w:rFonts w:hint="eastAsia" w:ascii="宋体" w:hAnsi="宋体"/>
          <w:color w:val="000000"/>
          <w:szCs w:val="24"/>
        </w:rPr>
        <w:t>（10）水泥稳定碎石</w:t>
      </w:r>
    </w:p>
    <w:p w14:paraId="01D985E2">
      <w:pPr>
        <w:ind w:firstLine="480"/>
        <w:rPr>
          <w:rFonts w:ascii="宋体" w:hAnsi="宋体"/>
          <w:color w:val="000000"/>
          <w:szCs w:val="24"/>
        </w:rPr>
      </w:pPr>
      <w:r>
        <w:rPr>
          <w:rFonts w:hint="eastAsia" w:ascii="宋体" w:hAnsi="宋体"/>
          <w:color w:val="000000"/>
          <w:szCs w:val="24"/>
        </w:rPr>
        <w:t>水泥稳定碎石基层采用42.5级普通硅酸盐水泥与碎石均匀拌和，其水泥用量的重量比分别为5％及4％。质量要求坚硬、清洁、无风化、无杂质，应用适当的级配，泥土含量不得大于5%。施工时应作好基层回弹模量的测定。施工过程中，要求水泥和碎石拌和均匀，在最佳含水量状态下进行摊铺，随即压实，其压实后的厚度不得小于设计要求，拌和与碾压的间隔时间不能超过3小时，采用10～12T重型压路机碾压，碾压速度要均匀，轮缘要重叠，先路边，后路中，直至无明显轮痕，并保持路拱横坡，摊铺宽度每侧应超过路面宽度35cm。</w:t>
      </w:r>
    </w:p>
    <w:p w14:paraId="10F1F22A">
      <w:pPr>
        <w:ind w:firstLine="480"/>
        <w:rPr>
          <w:rFonts w:ascii="宋体" w:hAnsi="宋体"/>
          <w:color w:val="FF0000"/>
          <w:szCs w:val="24"/>
        </w:rPr>
      </w:pPr>
      <w:r>
        <w:rPr>
          <w:rFonts w:hint="eastAsia" w:ascii="宋体" w:hAnsi="宋体"/>
          <w:color w:val="FF0000"/>
          <w:szCs w:val="24"/>
        </w:rPr>
        <w:t>车行道5％的水泥稳定碎石层的压实度要求不小于98％，七天抗压强度要求达到R7≥</w:t>
      </w:r>
      <w:r>
        <w:rPr>
          <w:rFonts w:hint="eastAsia" w:ascii="宋体" w:hAnsi="宋体"/>
          <w:color w:val="FF0000"/>
          <w:szCs w:val="24"/>
          <w:lang w:val="en-US" w:eastAsia="zh-CN"/>
        </w:rPr>
        <w:t>3.5</w:t>
      </w:r>
      <w:r>
        <w:rPr>
          <w:rFonts w:hint="eastAsia" w:ascii="宋体" w:hAnsi="宋体"/>
          <w:color w:val="FF0000"/>
          <w:szCs w:val="24"/>
        </w:rPr>
        <w:t>MPa。车行道4％的水泥稳定碎石层的压实度要求不小于97％，七天抗压强度要求达到R7≥</w:t>
      </w:r>
      <w:r>
        <w:rPr>
          <w:rFonts w:hint="eastAsia" w:ascii="宋体" w:hAnsi="宋体"/>
          <w:color w:val="FF0000"/>
          <w:szCs w:val="24"/>
          <w:lang w:val="en-US" w:eastAsia="zh-CN"/>
        </w:rPr>
        <w:t>2.5</w:t>
      </w:r>
      <w:r>
        <w:rPr>
          <w:rFonts w:hint="eastAsia" w:ascii="宋体" w:hAnsi="宋体"/>
          <w:color w:val="FF0000"/>
          <w:szCs w:val="24"/>
        </w:rPr>
        <w:t>MPa。</w:t>
      </w:r>
    </w:p>
    <w:p w14:paraId="2CE3FE8B">
      <w:pPr>
        <w:autoSpaceDE w:val="0"/>
        <w:autoSpaceDN w:val="0"/>
        <w:adjustRightInd w:val="0"/>
        <w:ind w:firstLine="442"/>
        <w:jc w:val="center"/>
        <w:rPr>
          <w:rFonts w:ascii="宋体" w:hAnsi="宋体"/>
          <w:b/>
          <w:color w:val="000000"/>
          <w:kern w:val="0"/>
          <w:sz w:val="22"/>
          <w:szCs w:val="21"/>
          <w:lang w:val="zh-CN"/>
        </w:rPr>
      </w:pPr>
      <w:r>
        <w:rPr>
          <w:rFonts w:hint="eastAsia" w:ascii="宋体" w:hAnsi="宋体"/>
          <w:b/>
          <w:color w:val="000000"/>
          <w:kern w:val="0"/>
          <w:sz w:val="22"/>
          <w:szCs w:val="21"/>
          <w:lang w:val="zh-CN"/>
        </w:rPr>
        <w:t>水泥稳定碎石的集料级配范围</w:t>
      </w:r>
    </w:p>
    <w:tbl>
      <w:tblPr>
        <w:tblStyle w:val="88"/>
        <w:tblW w:w="8230" w:type="dxa"/>
        <w:jc w:val="center"/>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Layout w:type="autofit"/>
        <w:tblCellMar>
          <w:top w:w="0" w:type="dxa"/>
          <w:left w:w="108" w:type="dxa"/>
          <w:bottom w:w="0" w:type="dxa"/>
          <w:right w:w="108" w:type="dxa"/>
        </w:tblCellMar>
      </w:tblPr>
      <w:tblGrid>
        <w:gridCol w:w="1163"/>
        <w:gridCol w:w="774"/>
        <w:gridCol w:w="778"/>
        <w:gridCol w:w="855"/>
        <w:gridCol w:w="775"/>
        <w:gridCol w:w="778"/>
        <w:gridCol w:w="778"/>
        <w:gridCol w:w="778"/>
        <w:gridCol w:w="778"/>
        <w:gridCol w:w="773"/>
      </w:tblGrid>
      <w:tr w14:paraId="7BEE6E19">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493" w:hRule="atLeast"/>
          <w:jc w:val="center"/>
        </w:trPr>
        <w:tc>
          <w:tcPr>
            <w:tcW w:w="1165" w:type="dxa"/>
            <w:vAlign w:val="center"/>
          </w:tcPr>
          <w:p w14:paraId="41A8D757">
            <w:pPr>
              <w:pStyle w:val="184"/>
              <w:spacing w:line="360" w:lineRule="auto"/>
              <w:jc w:val="center"/>
              <w:rPr>
                <w:rFonts w:hAnsi="宋体"/>
                <w:sz w:val="21"/>
                <w:szCs w:val="21"/>
              </w:rPr>
            </w:pPr>
            <w:r>
              <w:rPr>
                <w:rFonts w:hint="eastAsia" w:hAnsi="宋体"/>
                <w:sz w:val="21"/>
                <w:szCs w:val="21"/>
              </w:rPr>
              <w:t>筛孔尺寸（</w:t>
            </w:r>
            <w:r>
              <w:rPr>
                <w:rFonts w:hAnsi="宋体" w:cs="Times New Roman"/>
                <w:sz w:val="21"/>
                <w:szCs w:val="21"/>
              </w:rPr>
              <w:t>mm</w:t>
            </w:r>
            <w:r>
              <w:rPr>
                <w:rFonts w:hint="eastAsia" w:hAnsi="宋体"/>
                <w:sz w:val="21"/>
                <w:szCs w:val="21"/>
              </w:rPr>
              <w:t>）</w:t>
            </w:r>
          </w:p>
        </w:tc>
        <w:tc>
          <w:tcPr>
            <w:tcW w:w="775" w:type="dxa"/>
            <w:vAlign w:val="center"/>
          </w:tcPr>
          <w:p w14:paraId="0559EAF8">
            <w:pPr>
              <w:pStyle w:val="184"/>
              <w:spacing w:line="360" w:lineRule="auto"/>
              <w:jc w:val="center"/>
              <w:rPr>
                <w:rFonts w:hAnsi="宋体" w:cs="Times New Roman"/>
                <w:sz w:val="21"/>
                <w:szCs w:val="21"/>
              </w:rPr>
            </w:pPr>
            <w:r>
              <w:rPr>
                <w:rFonts w:hAnsi="宋体" w:cs="Times New Roman"/>
                <w:sz w:val="21"/>
                <w:szCs w:val="21"/>
              </w:rPr>
              <w:t xml:space="preserve">37.5 </w:t>
            </w:r>
          </w:p>
        </w:tc>
        <w:tc>
          <w:tcPr>
            <w:tcW w:w="778" w:type="dxa"/>
            <w:vAlign w:val="center"/>
          </w:tcPr>
          <w:p w14:paraId="6597CEB5">
            <w:pPr>
              <w:pStyle w:val="184"/>
              <w:spacing w:line="360" w:lineRule="auto"/>
              <w:jc w:val="center"/>
              <w:rPr>
                <w:rFonts w:hAnsi="宋体" w:cs="Times New Roman"/>
                <w:sz w:val="21"/>
                <w:szCs w:val="21"/>
              </w:rPr>
            </w:pPr>
            <w:r>
              <w:rPr>
                <w:rFonts w:hAnsi="宋体" w:cs="Times New Roman"/>
                <w:sz w:val="21"/>
                <w:szCs w:val="21"/>
              </w:rPr>
              <w:t xml:space="preserve">31.5 </w:t>
            </w:r>
          </w:p>
        </w:tc>
        <w:tc>
          <w:tcPr>
            <w:tcW w:w="855" w:type="dxa"/>
            <w:vAlign w:val="center"/>
          </w:tcPr>
          <w:p w14:paraId="0BE1F2D0">
            <w:pPr>
              <w:pStyle w:val="184"/>
              <w:spacing w:line="360" w:lineRule="auto"/>
              <w:jc w:val="center"/>
              <w:rPr>
                <w:rFonts w:hAnsi="宋体" w:cs="Times New Roman"/>
                <w:sz w:val="21"/>
                <w:szCs w:val="21"/>
              </w:rPr>
            </w:pPr>
            <w:r>
              <w:rPr>
                <w:rFonts w:hAnsi="宋体" w:cs="Times New Roman"/>
                <w:sz w:val="21"/>
                <w:szCs w:val="21"/>
              </w:rPr>
              <w:t xml:space="preserve">26.5 </w:t>
            </w:r>
          </w:p>
        </w:tc>
        <w:tc>
          <w:tcPr>
            <w:tcW w:w="775" w:type="dxa"/>
            <w:vAlign w:val="center"/>
          </w:tcPr>
          <w:p w14:paraId="762CCF1B">
            <w:pPr>
              <w:pStyle w:val="184"/>
              <w:spacing w:line="360" w:lineRule="auto"/>
              <w:jc w:val="center"/>
              <w:rPr>
                <w:rFonts w:hAnsi="宋体" w:cs="Times New Roman"/>
                <w:sz w:val="21"/>
                <w:szCs w:val="21"/>
              </w:rPr>
            </w:pPr>
            <w:r>
              <w:rPr>
                <w:rFonts w:hAnsi="宋体" w:cs="Times New Roman"/>
                <w:sz w:val="21"/>
                <w:szCs w:val="21"/>
              </w:rPr>
              <w:t xml:space="preserve">19 </w:t>
            </w:r>
          </w:p>
        </w:tc>
        <w:tc>
          <w:tcPr>
            <w:tcW w:w="778" w:type="dxa"/>
            <w:vAlign w:val="center"/>
          </w:tcPr>
          <w:p w14:paraId="30122BD5">
            <w:pPr>
              <w:pStyle w:val="184"/>
              <w:spacing w:line="360" w:lineRule="auto"/>
              <w:jc w:val="center"/>
              <w:rPr>
                <w:rFonts w:hAnsi="宋体" w:cs="Times New Roman"/>
                <w:sz w:val="21"/>
                <w:szCs w:val="21"/>
              </w:rPr>
            </w:pPr>
            <w:r>
              <w:rPr>
                <w:rFonts w:hAnsi="宋体" w:cs="Times New Roman"/>
                <w:sz w:val="21"/>
                <w:szCs w:val="21"/>
              </w:rPr>
              <w:t xml:space="preserve">9.5 </w:t>
            </w:r>
          </w:p>
        </w:tc>
        <w:tc>
          <w:tcPr>
            <w:tcW w:w="778" w:type="dxa"/>
            <w:vAlign w:val="center"/>
          </w:tcPr>
          <w:p w14:paraId="442848F2">
            <w:pPr>
              <w:pStyle w:val="184"/>
              <w:spacing w:line="360" w:lineRule="auto"/>
              <w:jc w:val="center"/>
              <w:rPr>
                <w:rFonts w:hAnsi="宋体" w:cs="Times New Roman"/>
                <w:sz w:val="21"/>
                <w:szCs w:val="21"/>
              </w:rPr>
            </w:pPr>
            <w:r>
              <w:rPr>
                <w:rFonts w:hAnsi="宋体" w:cs="Times New Roman"/>
                <w:sz w:val="21"/>
                <w:szCs w:val="21"/>
              </w:rPr>
              <w:t xml:space="preserve">4.75 </w:t>
            </w:r>
          </w:p>
        </w:tc>
        <w:tc>
          <w:tcPr>
            <w:tcW w:w="778" w:type="dxa"/>
            <w:vAlign w:val="center"/>
          </w:tcPr>
          <w:p w14:paraId="58833917">
            <w:pPr>
              <w:pStyle w:val="184"/>
              <w:spacing w:line="360" w:lineRule="auto"/>
              <w:jc w:val="center"/>
              <w:rPr>
                <w:rFonts w:hAnsi="宋体" w:cs="Times New Roman"/>
                <w:sz w:val="21"/>
                <w:szCs w:val="21"/>
              </w:rPr>
            </w:pPr>
            <w:r>
              <w:rPr>
                <w:rFonts w:hAnsi="宋体" w:cs="Times New Roman"/>
                <w:sz w:val="21"/>
                <w:szCs w:val="21"/>
              </w:rPr>
              <w:t xml:space="preserve">2.36 </w:t>
            </w:r>
          </w:p>
        </w:tc>
        <w:tc>
          <w:tcPr>
            <w:tcW w:w="778" w:type="dxa"/>
            <w:vAlign w:val="center"/>
          </w:tcPr>
          <w:p w14:paraId="3D3204A4">
            <w:pPr>
              <w:pStyle w:val="184"/>
              <w:spacing w:line="360" w:lineRule="auto"/>
              <w:jc w:val="center"/>
              <w:rPr>
                <w:rFonts w:hAnsi="宋体" w:cs="Times New Roman"/>
                <w:sz w:val="21"/>
                <w:szCs w:val="21"/>
              </w:rPr>
            </w:pPr>
            <w:r>
              <w:rPr>
                <w:rFonts w:hAnsi="宋体" w:cs="Times New Roman"/>
                <w:sz w:val="21"/>
                <w:szCs w:val="21"/>
              </w:rPr>
              <w:t xml:space="preserve">0.6 </w:t>
            </w:r>
          </w:p>
        </w:tc>
        <w:tc>
          <w:tcPr>
            <w:tcW w:w="773" w:type="dxa"/>
            <w:vAlign w:val="center"/>
          </w:tcPr>
          <w:p w14:paraId="42E8E6E3">
            <w:pPr>
              <w:pStyle w:val="184"/>
              <w:spacing w:line="360" w:lineRule="auto"/>
              <w:jc w:val="center"/>
              <w:rPr>
                <w:rFonts w:hAnsi="宋体" w:cs="Times New Roman"/>
                <w:sz w:val="21"/>
                <w:szCs w:val="21"/>
              </w:rPr>
            </w:pPr>
            <w:r>
              <w:rPr>
                <w:rFonts w:hAnsi="宋体" w:cs="Times New Roman"/>
                <w:sz w:val="21"/>
                <w:szCs w:val="21"/>
              </w:rPr>
              <w:t xml:space="preserve">0.075 </w:t>
            </w:r>
          </w:p>
        </w:tc>
      </w:tr>
      <w:tr w14:paraId="580070FE">
        <w:tblPrEx>
          <w:tblBorders>
            <w:top w:val="single" w:color="000000" w:sz="2" w:space="0"/>
            <w:left w:val="single" w:color="000000" w:sz="2" w:space="0"/>
            <w:bottom w:val="single" w:color="000000" w:sz="2" w:space="0"/>
            <w:right w:val="single" w:color="000000" w:sz="2" w:space="0"/>
            <w:insideH w:val="single" w:color="000000" w:sz="6" w:space="0"/>
            <w:insideV w:val="single" w:color="000000" w:sz="6" w:space="0"/>
          </w:tblBorders>
          <w:tblCellMar>
            <w:top w:w="0" w:type="dxa"/>
            <w:left w:w="108" w:type="dxa"/>
            <w:bottom w:w="0" w:type="dxa"/>
            <w:right w:w="108" w:type="dxa"/>
          </w:tblCellMar>
        </w:tblPrEx>
        <w:trPr>
          <w:trHeight w:val="630" w:hRule="atLeast"/>
          <w:jc w:val="center"/>
        </w:trPr>
        <w:tc>
          <w:tcPr>
            <w:tcW w:w="1165" w:type="dxa"/>
            <w:vAlign w:val="center"/>
          </w:tcPr>
          <w:p w14:paraId="0502BAE8">
            <w:pPr>
              <w:pStyle w:val="184"/>
              <w:spacing w:line="360" w:lineRule="auto"/>
              <w:jc w:val="center"/>
              <w:rPr>
                <w:rFonts w:hAnsi="宋体"/>
                <w:sz w:val="21"/>
                <w:szCs w:val="21"/>
              </w:rPr>
            </w:pPr>
            <w:r>
              <w:rPr>
                <w:rFonts w:hint="eastAsia" w:hAnsi="宋体"/>
                <w:sz w:val="21"/>
                <w:szCs w:val="21"/>
              </w:rPr>
              <w:t>通过百分率（％）</w:t>
            </w:r>
          </w:p>
        </w:tc>
        <w:tc>
          <w:tcPr>
            <w:tcW w:w="775" w:type="dxa"/>
            <w:vAlign w:val="center"/>
          </w:tcPr>
          <w:p w14:paraId="54C919A4">
            <w:pPr>
              <w:pStyle w:val="184"/>
              <w:spacing w:line="360" w:lineRule="auto"/>
              <w:jc w:val="center"/>
              <w:rPr>
                <w:rFonts w:hAnsi="宋体" w:cs="Times New Roman"/>
                <w:sz w:val="21"/>
                <w:szCs w:val="21"/>
              </w:rPr>
            </w:pPr>
            <w:r>
              <w:rPr>
                <w:rFonts w:hAnsi="宋体" w:cs="Times New Roman"/>
                <w:sz w:val="21"/>
                <w:szCs w:val="21"/>
              </w:rPr>
              <w:t xml:space="preserve">/ </w:t>
            </w:r>
          </w:p>
        </w:tc>
        <w:tc>
          <w:tcPr>
            <w:tcW w:w="778" w:type="dxa"/>
            <w:vAlign w:val="center"/>
          </w:tcPr>
          <w:p w14:paraId="41E98DBB">
            <w:pPr>
              <w:pStyle w:val="184"/>
              <w:spacing w:line="360" w:lineRule="auto"/>
              <w:jc w:val="center"/>
              <w:rPr>
                <w:rFonts w:hAnsi="宋体" w:cs="Times New Roman"/>
                <w:sz w:val="21"/>
                <w:szCs w:val="21"/>
              </w:rPr>
            </w:pPr>
            <w:r>
              <w:rPr>
                <w:rFonts w:hAnsi="宋体" w:cs="Times New Roman"/>
                <w:sz w:val="21"/>
                <w:szCs w:val="21"/>
              </w:rPr>
              <w:t xml:space="preserve">100 </w:t>
            </w:r>
          </w:p>
        </w:tc>
        <w:tc>
          <w:tcPr>
            <w:tcW w:w="855" w:type="dxa"/>
            <w:vAlign w:val="center"/>
          </w:tcPr>
          <w:p w14:paraId="37EF2104">
            <w:pPr>
              <w:pStyle w:val="184"/>
              <w:spacing w:line="360" w:lineRule="auto"/>
              <w:jc w:val="center"/>
              <w:rPr>
                <w:rFonts w:hAnsi="宋体" w:cs="Times New Roman"/>
                <w:sz w:val="21"/>
                <w:szCs w:val="21"/>
              </w:rPr>
            </w:pPr>
            <w:r>
              <w:rPr>
                <w:rFonts w:hAnsi="宋体" w:cs="Times New Roman"/>
                <w:sz w:val="21"/>
                <w:szCs w:val="21"/>
              </w:rPr>
              <w:t xml:space="preserve">90~100 </w:t>
            </w:r>
          </w:p>
        </w:tc>
        <w:tc>
          <w:tcPr>
            <w:tcW w:w="775" w:type="dxa"/>
            <w:vAlign w:val="center"/>
          </w:tcPr>
          <w:p w14:paraId="6BD26760">
            <w:pPr>
              <w:pStyle w:val="184"/>
              <w:spacing w:line="360" w:lineRule="auto"/>
              <w:jc w:val="center"/>
              <w:rPr>
                <w:rFonts w:hAnsi="宋体" w:cs="Times New Roman"/>
                <w:sz w:val="21"/>
                <w:szCs w:val="21"/>
              </w:rPr>
            </w:pPr>
            <w:r>
              <w:rPr>
                <w:rFonts w:hAnsi="宋体" w:cs="Times New Roman"/>
                <w:sz w:val="21"/>
                <w:szCs w:val="21"/>
              </w:rPr>
              <w:t xml:space="preserve">72~89 </w:t>
            </w:r>
          </w:p>
        </w:tc>
        <w:tc>
          <w:tcPr>
            <w:tcW w:w="778" w:type="dxa"/>
            <w:vAlign w:val="center"/>
          </w:tcPr>
          <w:p w14:paraId="01D4AE50">
            <w:pPr>
              <w:pStyle w:val="184"/>
              <w:spacing w:line="360" w:lineRule="auto"/>
              <w:jc w:val="center"/>
              <w:rPr>
                <w:rFonts w:hAnsi="宋体" w:cs="Times New Roman"/>
                <w:sz w:val="21"/>
                <w:szCs w:val="21"/>
              </w:rPr>
            </w:pPr>
            <w:r>
              <w:rPr>
                <w:rFonts w:hAnsi="宋体" w:cs="Times New Roman"/>
                <w:sz w:val="21"/>
                <w:szCs w:val="21"/>
              </w:rPr>
              <w:t xml:space="preserve">47~67 </w:t>
            </w:r>
          </w:p>
        </w:tc>
        <w:tc>
          <w:tcPr>
            <w:tcW w:w="778" w:type="dxa"/>
            <w:vAlign w:val="center"/>
          </w:tcPr>
          <w:p w14:paraId="572FDDD8">
            <w:pPr>
              <w:pStyle w:val="184"/>
              <w:spacing w:line="360" w:lineRule="auto"/>
              <w:jc w:val="center"/>
              <w:rPr>
                <w:rFonts w:hAnsi="宋体" w:cs="Times New Roman"/>
                <w:sz w:val="21"/>
                <w:szCs w:val="21"/>
              </w:rPr>
            </w:pPr>
            <w:r>
              <w:rPr>
                <w:rFonts w:hAnsi="宋体" w:cs="Times New Roman"/>
                <w:sz w:val="21"/>
                <w:szCs w:val="21"/>
              </w:rPr>
              <w:t xml:space="preserve">29~49 </w:t>
            </w:r>
          </w:p>
        </w:tc>
        <w:tc>
          <w:tcPr>
            <w:tcW w:w="778" w:type="dxa"/>
            <w:vAlign w:val="center"/>
          </w:tcPr>
          <w:p w14:paraId="625E9CCF">
            <w:pPr>
              <w:pStyle w:val="184"/>
              <w:spacing w:line="360" w:lineRule="auto"/>
              <w:jc w:val="center"/>
              <w:rPr>
                <w:rFonts w:hAnsi="宋体" w:cs="Times New Roman"/>
                <w:sz w:val="21"/>
                <w:szCs w:val="21"/>
              </w:rPr>
            </w:pPr>
            <w:r>
              <w:rPr>
                <w:rFonts w:hAnsi="宋体" w:cs="Times New Roman"/>
                <w:sz w:val="21"/>
                <w:szCs w:val="21"/>
              </w:rPr>
              <w:t xml:space="preserve">17~35 </w:t>
            </w:r>
          </w:p>
        </w:tc>
        <w:tc>
          <w:tcPr>
            <w:tcW w:w="778" w:type="dxa"/>
            <w:vAlign w:val="center"/>
          </w:tcPr>
          <w:p w14:paraId="62B28CE9">
            <w:pPr>
              <w:pStyle w:val="184"/>
              <w:spacing w:line="360" w:lineRule="auto"/>
              <w:jc w:val="center"/>
              <w:rPr>
                <w:rFonts w:hAnsi="宋体" w:cs="Times New Roman"/>
                <w:sz w:val="21"/>
                <w:szCs w:val="21"/>
              </w:rPr>
            </w:pPr>
            <w:r>
              <w:rPr>
                <w:rFonts w:hAnsi="宋体" w:cs="Times New Roman"/>
                <w:sz w:val="21"/>
                <w:szCs w:val="21"/>
              </w:rPr>
              <w:t xml:space="preserve">8~22 </w:t>
            </w:r>
          </w:p>
        </w:tc>
        <w:tc>
          <w:tcPr>
            <w:tcW w:w="773" w:type="dxa"/>
            <w:vAlign w:val="center"/>
          </w:tcPr>
          <w:p w14:paraId="76D4AD12">
            <w:pPr>
              <w:pStyle w:val="184"/>
              <w:spacing w:line="360" w:lineRule="auto"/>
              <w:jc w:val="center"/>
              <w:rPr>
                <w:rFonts w:hAnsi="宋体" w:cs="Times New Roman"/>
                <w:sz w:val="21"/>
                <w:szCs w:val="21"/>
              </w:rPr>
            </w:pPr>
            <w:r>
              <w:rPr>
                <w:rFonts w:hAnsi="宋体" w:cs="Times New Roman"/>
                <w:sz w:val="21"/>
                <w:szCs w:val="21"/>
              </w:rPr>
              <w:t xml:space="preserve">0~7 </w:t>
            </w:r>
          </w:p>
        </w:tc>
      </w:tr>
    </w:tbl>
    <w:p w14:paraId="1EC617D9">
      <w:pPr>
        <w:ind w:firstLine="0" w:firstLineChars="0"/>
        <w:jc w:val="left"/>
        <w:rPr>
          <w:rFonts w:ascii="宋体" w:hAnsi="宋体"/>
          <w:sz w:val="22"/>
          <w:szCs w:val="21"/>
        </w:rPr>
      </w:pPr>
      <w:r>
        <w:rPr>
          <w:rFonts w:hint="eastAsia" w:ascii="宋体" w:hAnsi="宋体" w:cs="宋体"/>
          <w:kern w:val="0"/>
          <w:sz w:val="22"/>
          <w:szCs w:val="21"/>
        </w:rPr>
        <w:t>注：底基层与基层使用集料的粒径应以方孔筛为准。</w:t>
      </w:r>
    </w:p>
    <w:p w14:paraId="18DDF8C4">
      <w:pPr>
        <w:widowControl/>
        <w:ind w:firstLine="0" w:firstLineChars="0"/>
        <w:jc w:val="left"/>
      </w:pPr>
      <w:r>
        <w:rPr>
          <w:rFonts w:hint="eastAsia" w:ascii="宋体" w:hAnsi="宋体"/>
          <w:color w:val="000000"/>
          <w:szCs w:val="24"/>
        </w:rPr>
        <w:t>（</w:t>
      </w:r>
      <w:r>
        <w:rPr>
          <w:rFonts w:ascii="宋体" w:hAnsi="宋体"/>
          <w:color w:val="000000"/>
          <w:szCs w:val="24"/>
        </w:rPr>
        <w:t>10</w:t>
      </w:r>
      <w:r>
        <w:rPr>
          <w:rFonts w:hint="eastAsia" w:ascii="宋体" w:hAnsi="宋体"/>
          <w:color w:val="000000"/>
          <w:szCs w:val="24"/>
        </w:rPr>
        <w:t>）</w:t>
      </w:r>
      <w:r>
        <w:rPr>
          <w:rFonts w:hint="eastAsia"/>
        </w:rPr>
        <w:t>非机动车道透水混凝土材料要求及施工工艺</w:t>
      </w:r>
    </w:p>
    <w:p w14:paraId="76DA1F85">
      <w:pPr>
        <w:widowControl/>
        <w:ind w:firstLine="0" w:firstLineChars="0"/>
        <w:jc w:val="left"/>
        <w:rPr>
          <w:rFonts w:hint="default" w:eastAsia="宋体"/>
          <w:lang w:val="en-US" w:eastAsia="zh-CN"/>
        </w:rPr>
      </w:pPr>
      <w:r>
        <w:rPr>
          <w:rFonts w:hint="eastAsia"/>
          <w:lang w:val="en-US" w:eastAsia="zh-CN"/>
        </w:rPr>
        <w:t>1、透水人行道砖</w:t>
      </w:r>
    </w:p>
    <w:p w14:paraId="349C8695">
      <w:pPr>
        <w:ind w:firstLine="480"/>
      </w:pPr>
      <w:r>
        <w:rPr>
          <w:rFonts w:hint="eastAsia"/>
        </w:rPr>
        <w:t>人行道的混凝土透水砖材料要求人行道铺装面层应平顺、抗滑、耐磨、美观，表面应平整，边角齐全，厚度均匀，色泽一致。混凝土透水砖：耐磨性（磨坑长度）≤35m、渗水系数≥0.01cm/s、抗压强度≥Cc40，抗折强度≥Cf5.0，防滑等级为R3 级。</w:t>
      </w:r>
    </w:p>
    <w:p w14:paraId="2ECEFDCD">
      <w:pPr>
        <w:widowControl/>
        <w:ind w:firstLine="0" w:firstLineChars="0"/>
        <w:jc w:val="left"/>
        <w:rPr>
          <w:rFonts w:hint="default" w:eastAsia="宋体"/>
          <w:lang w:val="en-US" w:eastAsia="zh-CN"/>
        </w:rPr>
      </w:pPr>
      <w:r>
        <w:rPr>
          <w:rFonts w:hint="eastAsia"/>
          <w:lang w:val="en-US" w:eastAsia="zh-CN"/>
        </w:rPr>
        <w:t>2、透水混凝土</w:t>
      </w:r>
    </w:p>
    <w:p w14:paraId="085035EE">
      <w:pPr>
        <w:widowControl/>
        <w:ind w:firstLine="0" w:firstLineChars="0"/>
        <w:jc w:val="left"/>
      </w:pPr>
      <w:r>
        <w:rPr>
          <w:rFonts w:hint="eastAsia"/>
        </w:rPr>
        <w:t>1）材料要求</w:t>
      </w:r>
    </w:p>
    <w:p w14:paraId="0831A2B0">
      <w:pPr>
        <w:ind w:firstLine="480"/>
      </w:pPr>
      <w:r>
        <w:rPr>
          <w:rFonts w:hint="eastAsia"/>
        </w:rPr>
        <w:t>①水泥：P.O 42.5 普通硅酸盐水泥</w:t>
      </w:r>
    </w:p>
    <w:p w14:paraId="733AE864">
      <w:pPr>
        <w:ind w:firstLine="480"/>
      </w:pPr>
      <w:r>
        <w:rPr>
          <w:rFonts w:hint="eastAsia"/>
        </w:rPr>
        <w:t>②粗骨料</w:t>
      </w:r>
      <w:r>
        <w:rPr>
          <w:rFonts w:hint="eastAsia" w:ascii="宋体" w:hAnsi="宋体"/>
          <w:color w:val="000000"/>
          <w:szCs w:val="24"/>
        </w:rPr>
        <w:t>碎石</w:t>
      </w:r>
      <w:r>
        <w:rPr>
          <w:rFonts w:hint="eastAsia"/>
        </w:rPr>
        <w:t>：上面层用6-8mm 粒径碎石，下面层用l0-25mm 粒径。碎石堆积密度1450-1650kg／m3，针片状颗粒≤5％，压碎指标&lt;6％，含泥量&lt;1％。</w:t>
      </w:r>
    </w:p>
    <w:p w14:paraId="35F235D8">
      <w:pPr>
        <w:ind w:firstLine="480"/>
      </w:pPr>
      <w:r>
        <w:rPr>
          <w:rFonts w:hint="eastAsia"/>
        </w:rPr>
        <w:t>③ 其它配套材料要求： 水用普通自来水； 加强剂( 矿物掺合料) 符合GB/T18736—2002；稳定剂：主要指标应满足：氨含量≤0．1，抗压强度比≥85％(28d)，压力沁水率≤95％；双丙聚氨酯密封胶：双组分，固体份&gt;40%，进口固化剂，符合国家标准技术要求。透水混凝土颜料为原色，无机耐候颜料应满足GB/T 1863-2008要求。</w:t>
      </w:r>
    </w:p>
    <w:p w14:paraId="693690F4">
      <w:pPr>
        <w:widowControl/>
        <w:ind w:firstLine="0" w:firstLineChars="0"/>
        <w:jc w:val="left"/>
      </w:pPr>
      <w:r>
        <w:rPr>
          <w:rFonts w:hint="eastAsia"/>
        </w:rPr>
        <w:t>2）施工要求</w:t>
      </w:r>
    </w:p>
    <w:p w14:paraId="6D63D467">
      <w:pPr>
        <w:ind w:firstLine="480"/>
      </w:pPr>
      <w:r>
        <w:rPr>
          <w:rFonts w:hint="eastAsia"/>
        </w:rPr>
        <w:t>①严格控制水灰比，即控制水的加入量，水在搅拌中分2-3 次加入，不允许一次性加入。</w:t>
      </w:r>
    </w:p>
    <w:p w14:paraId="29D8659C">
      <w:pPr>
        <w:ind w:firstLine="480"/>
      </w:pPr>
      <w:r>
        <w:rPr>
          <w:rFonts w:hint="eastAsia"/>
        </w:rPr>
        <w:t>②为使物料搅拌均匀，适当延长机械搅拌时间，但不宜过长，运输一般控制在10 分钟以内。</w:t>
      </w:r>
    </w:p>
    <w:p w14:paraId="6DBEE49D">
      <w:pPr>
        <w:ind w:firstLine="480"/>
      </w:pPr>
      <w:r>
        <w:rPr>
          <w:rFonts w:hint="eastAsia"/>
        </w:rPr>
        <w:t>③因透水</w:t>
      </w:r>
      <w:r>
        <w:rPr>
          <w:rFonts w:hint="eastAsia" w:ascii="宋体" w:hAnsi="宋体"/>
          <w:color w:val="000000"/>
          <w:szCs w:val="24"/>
        </w:rPr>
        <w:t>混凝土</w:t>
      </w:r>
      <w:r>
        <w:rPr>
          <w:rFonts w:hint="eastAsia"/>
        </w:rPr>
        <w:t>其孔隙率大，水份散失快，当天气温高于35℃时，施工时间应宜避开中午，适合在早晚进行施工。</w:t>
      </w:r>
    </w:p>
    <w:p w14:paraId="4F555E29">
      <w:pPr>
        <w:ind w:firstLine="480"/>
      </w:pPr>
      <w:r>
        <w:rPr>
          <w:rFonts w:hint="eastAsia"/>
        </w:rPr>
        <w:t>④缩缝设置：</w:t>
      </w:r>
      <w:r>
        <w:rPr>
          <w:rFonts w:hint="eastAsia" w:ascii="宋体" w:hAnsi="宋体"/>
          <w:color w:val="000000"/>
          <w:szCs w:val="24"/>
        </w:rPr>
        <w:t>采用</w:t>
      </w:r>
      <w:r>
        <w:rPr>
          <w:rFonts w:hint="eastAsia"/>
        </w:rPr>
        <w:t>切割方式，每5m 割2mm 宽通缝（贯通基层），缝内注双丙聚氨酯。</w:t>
      </w:r>
    </w:p>
    <w:p w14:paraId="190A1FF1">
      <w:pPr>
        <w:ind w:firstLine="480"/>
      </w:pPr>
      <w:r>
        <w:rPr>
          <w:rFonts w:hint="eastAsia"/>
        </w:rPr>
        <w:t>⑤养生：透水</w:t>
      </w:r>
      <w:r>
        <w:rPr>
          <w:rFonts w:hint="eastAsia" w:ascii="宋体" w:hAnsi="宋体"/>
          <w:color w:val="000000"/>
          <w:szCs w:val="24"/>
        </w:rPr>
        <w:t>混凝土</w:t>
      </w:r>
      <w:r>
        <w:rPr>
          <w:rFonts w:hint="eastAsia"/>
        </w:rPr>
        <w:t>与水泥混凝土属性类似，在浇注后1 天开始洒水养护，高温时在8 小时后开始养护。养生时间应根据施工温度而定，一般养生期为14—21 天。</w:t>
      </w:r>
    </w:p>
    <w:p w14:paraId="34781A3F">
      <w:pPr>
        <w:ind w:firstLine="480"/>
      </w:pPr>
      <w:r>
        <w:rPr>
          <w:rFonts w:hint="eastAsia"/>
        </w:rPr>
        <w:t>⑥涂覆透明封闭剂：待表面混凝土成型干燥后在3天左右，涂刷透明封闭剂，增强耐久性和美观性。防止时间过会使透水混凝土孔隙受污而堵塞孔隙。</w:t>
      </w:r>
    </w:p>
    <w:p w14:paraId="03F2C64D">
      <w:pPr>
        <w:widowControl/>
        <w:ind w:firstLine="0" w:firstLineChars="0"/>
        <w:jc w:val="left"/>
      </w:pPr>
      <w:r>
        <w:rPr>
          <w:rFonts w:hint="eastAsia"/>
        </w:rPr>
        <w:t>3）质量检验要求</w:t>
      </w:r>
    </w:p>
    <w:p w14:paraId="13AE1892">
      <w:pPr>
        <w:ind w:firstLine="480"/>
      </w:pPr>
      <w:r>
        <w:rPr>
          <w:rFonts w:hint="eastAsia"/>
        </w:rPr>
        <w:t>透水混凝土质量检验内容包括：表面平整度、强度、厚度、透水性、冻融循环等。质量应满足如下要求：</w:t>
      </w:r>
    </w:p>
    <w:p w14:paraId="18F14D0B">
      <w:pPr>
        <w:ind w:firstLine="480"/>
      </w:pPr>
      <w:r>
        <w:rPr>
          <w:rFonts w:hint="eastAsia"/>
          <w:color w:val="FF0000"/>
        </w:rPr>
        <w:t>1 透水混凝土按</w:t>
      </w:r>
      <w:r>
        <w:rPr>
          <w:rFonts w:hint="eastAsia" w:ascii="宋体" w:hAnsi="宋体"/>
          <w:color w:val="FF0000"/>
          <w:szCs w:val="24"/>
        </w:rPr>
        <w:t>立方体</w:t>
      </w:r>
      <w:r>
        <w:rPr>
          <w:rFonts w:hint="eastAsia"/>
          <w:color w:val="FF0000"/>
        </w:rPr>
        <w:t>抗压强度标准值为C</w:t>
      </w:r>
      <w:r>
        <w:rPr>
          <w:rFonts w:hint="eastAsia"/>
          <w:color w:val="FF0000"/>
          <w:lang w:val="en-US" w:eastAsia="zh-CN"/>
        </w:rPr>
        <w:t>20</w:t>
      </w:r>
      <w:r>
        <w:rPr>
          <w:rFonts w:hint="eastAsia"/>
          <w:color w:val="FF0000"/>
        </w:rPr>
        <w:t xml:space="preserve"> 强度等级，强度不低于设计要求</w:t>
      </w:r>
      <w:r>
        <w:rPr>
          <w:rFonts w:hint="eastAsia"/>
        </w:rPr>
        <w:t>。</w:t>
      </w:r>
    </w:p>
    <w:p w14:paraId="7C2554B7">
      <w:pPr>
        <w:ind w:firstLine="480"/>
      </w:pPr>
      <w:r>
        <w:rPr>
          <w:rFonts w:hint="eastAsia"/>
        </w:rPr>
        <w:t>②透水混凝土的</w:t>
      </w:r>
      <w:r>
        <w:rPr>
          <w:rFonts w:hint="eastAsia" w:ascii="宋体" w:hAnsi="宋体"/>
          <w:color w:val="000000"/>
          <w:szCs w:val="24"/>
        </w:rPr>
        <w:t>孔隙率</w:t>
      </w:r>
      <w:r>
        <w:rPr>
          <w:rFonts w:hint="eastAsia"/>
        </w:rPr>
        <w:t>不得小于15％，透水系数2.0---4．5mm／s。</w:t>
      </w:r>
    </w:p>
    <w:p w14:paraId="3F2FF9C0">
      <w:pPr>
        <w:ind w:firstLine="480"/>
      </w:pPr>
      <w:r>
        <w:rPr>
          <w:rFonts w:hint="eastAsia"/>
        </w:rPr>
        <w:t>③透水混凝土的</w:t>
      </w:r>
      <w:r>
        <w:rPr>
          <w:rFonts w:hint="eastAsia" w:ascii="宋体" w:hAnsi="宋体"/>
          <w:color w:val="000000"/>
          <w:szCs w:val="24"/>
        </w:rPr>
        <w:t>稠度</w:t>
      </w:r>
      <w:r>
        <w:rPr>
          <w:rFonts w:hint="eastAsia"/>
        </w:rPr>
        <w:t>以坍落度表示，透水混凝土的坍落度不宜大于20mm。</w:t>
      </w:r>
    </w:p>
    <w:p w14:paraId="2E8D0B99">
      <w:pPr>
        <w:ind w:firstLine="480"/>
      </w:pPr>
      <w:r>
        <w:rPr>
          <w:rFonts w:hint="eastAsia"/>
        </w:rPr>
        <w:t>④透水混凝土的抗冻性不应低于D50。</w:t>
      </w:r>
    </w:p>
    <w:p w14:paraId="7402C60B">
      <w:pPr>
        <w:ind w:firstLine="480"/>
      </w:pPr>
      <w:r>
        <w:rPr>
          <w:rFonts w:hint="eastAsia"/>
        </w:rPr>
        <w:t>⑤透水混凝土中</w:t>
      </w:r>
      <w:r>
        <w:rPr>
          <w:rFonts w:hint="eastAsia" w:ascii="宋体" w:hAnsi="宋体"/>
          <w:color w:val="000000"/>
          <w:szCs w:val="24"/>
        </w:rPr>
        <w:t>氯化物</w:t>
      </w:r>
      <w:r>
        <w:rPr>
          <w:rFonts w:hint="eastAsia"/>
        </w:rPr>
        <w:t>和碱的总含量应符合现行国家标准</w:t>
      </w:r>
      <w:r>
        <w:rPr>
          <w:rFonts w:hint="eastAsia"/>
          <w:color w:val="FF0000"/>
          <w:lang w:val="zh-CN"/>
        </w:rPr>
        <w:t>《混凝土结构设计</w:t>
      </w:r>
      <w:r>
        <w:rPr>
          <w:rFonts w:hint="eastAsia"/>
          <w:color w:val="FF0000"/>
          <w:lang w:val="en-US" w:eastAsia="zh-CN"/>
        </w:rPr>
        <w:t>标准</w:t>
      </w:r>
      <w:r>
        <w:rPr>
          <w:rFonts w:hint="eastAsia"/>
          <w:color w:val="FF0000"/>
          <w:lang w:val="zh-CN"/>
        </w:rPr>
        <w:t>》（20</w:t>
      </w:r>
      <w:r>
        <w:rPr>
          <w:rFonts w:hint="eastAsia"/>
          <w:color w:val="FF0000"/>
          <w:lang w:val="en-US" w:eastAsia="zh-CN"/>
        </w:rPr>
        <w:t>24</w:t>
      </w:r>
      <w:r>
        <w:rPr>
          <w:rFonts w:hint="eastAsia"/>
          <w:color w:val="FF0000"/>
          <w:lang w:val="zh-CN"/>
        </w:rPr>
        <w:t>版）（</w:t>
      </w:r>
      <w:r>
        <w:rPr>
          <w:color w:val="FF0000"/>
          <w:lang w:val="zh-CN"/>
        </w:rPr>
        <w:t>GB50010-2010</w:t>
      </w:r>
      <w:r>
        <w:rPr>
          <w:rFonts w:hint="eastAsia"/>
          <w:color w:val="FF0000"/>
          <w:lang w:val="zh-CN"/>
        </w:rPr>
        <w:t>）</w:t>
      </w:r>
      <w:r>
        <w:rPr>
          <w:rFonts w:hint="eastAsia"/>
        </w:rPr>
        <w:t>和设计的要求。</w:t>
      </w:r>
    </w:p>
    <w:p w14:paraId="29748F8E">
      <w:pPr>
        <w:ind w:firstLine="480"/>
      </w:pPr>
      <w:r>
        <w:rPr>
          <w:rFonts w:hint="eastAsia"/>
        </w:rPr>
        <w:t>⑥厚度误差允许范围在10％。</w:t>
      </w:r>
    </w:p>
    <w:p w14:paraId="575CE9DE">
      <w:pPr>
        <w:ind w:firstLine="480"/>
        <w:rPr>
          <w:rFonts w:hint="eastAsia"/>
        </w:rPr>
      </w:pPr>
      <w:r>
        <w:rPr>
          <w:rFonts w:hint="eastAsia"/>
        </w:rPr>
        <w:t>⑦透水混凝土</w:t>
      </w:r>
      <w:r>
        <w:rPr>
          <w:rFonts w:hint="eastAsia" w:ascii="宋体" w:hAnsi="宋体"/>
          <w:color w:val="000000"/>
          <w:szCs w:val="24"/>
        </w:rPr>
        <w:t>表面平整度</w:t>
      </w:r>
      <w:r>
        <w:rPr>
          <w:rFonts w:hint="eastAsia"/>
        </w:rPr>
        <w:t>要求≤±5mm，混凝土表面不得有明显划痕、裂缝、污染，在任何l ㎡范围内大于φ10mm 的麻面不得多于两处，不得有缺边、断角、掉渣等缺陷。</w:t>
      </w:r>
    </w:p>
    <w:p w14:paraId="5A09AB70">
      <w:pPr>
        <w:widowControl/>
        <w:ind w:firstLine="0" w:firstLineChars="0"/>
        <w:jc w:val="left"/>
        <w:rPr>
          <w:rFonts w:hint="eastAsia"/>
          <w:color w:val="FF0000"/>
          <w:lang w:val="en-US" w:eastAsia="zh-CN"/>
        </w:rPr>
      </w:pPr>
      <w:r>
        <w:rPr>
          <w:rFonts w:hint="eastAsia"/>
          <w:color w:val="FF0000"/>
          <w:lang w:val="en-US" w:eastAsia="zh-CN"/>
        </w:rPr>
        <w:t>（11）未筛分碎石</w:t>
      </w:r>
    </w:p>
    <w:p w14:paraId="7F0D2768">
      <w:pPr>
        <w:pStyle w:val="194"/>
        <w:ind w:firstLine="480"/>
        <w:rPr>
          <w:rFonts w:hint="eastAsia"/>
          <w:color w:val="FF0000"/>
          <w:lang w:eastAsia="zh-CN" w:bidi="ar-SA"/>
        </w:rPr>
      </w:pPr>
      <w:r>
        <w:rPr>
          <w:rFonts w:hint="eastAsia"/>
          <w:color w:val="FF0000"/>
          <w:lang w:eastAsia="zh-CN" w:bidi="ar-SA"/>
        </w:rPr>
        <w:t>碎石的最大粒径不大于37.5mm。碎石中针片状颗粒的总含量应不超过20%，碎石中不应有粘土块、植物等有害物质。要求塑性指数&lt;6，液限&lt;28%</w:t>
      </w:r>
      <w:r>
        <w:rPr>
          <w:rFonts w:hint="eastAsia" w:cs="宋体"/>
          <w:color w:val="FF0000"/>
          <w:lang w:eastAsia="zh-CN" w:bidi="ar-SA"/>
        </w:rPr>
        <w:t>。</w:t>
      </w:r>
      <w:r>
        <w:rPr>
          <w:rFonts w:hint="eastAsia" w:cs="宋体"/>
          <w:color w:val="FF0000"/>
          <w:lang w:val="en-US" w:eastAsia="zh-CN" w:bidi="ar-SA"/>
        </w:rPr>
        <w:t>压实度</w:t>
      </w:r>
      <w:r>
        <w:rPr>
          <w:rFonts w:hint="eastAsia" w:cs="宋体"/>
          <w:color w:val="FF0000"/>
          <w:lang w:eastAsia="zh-CN" w:bidi="ar-SA"/>
        </w:rPr>
        <w:t>应不小于95%(重型击实标准)</w:t>
      </w:r>
    </w:p>
    <w:p w14:paraId="6FC5C598">
      <w:pPr>
        <w:spacing w:line="360" w:lineRule="auto"/>
        <w:ind w:left="3" w:leftChars="-1" w:hanging="5" w:hangingChars="2"/>
        <w:jc w:val="center"/>
        <w:rPr>
          <w:rFonts w:ascii="宋体" w:hAnsi="宋体"/>
          <w:b/>
          <w:lang w:eastAsia="zh-CN"/>
        </w:rPr>
      </w:pPr>
      <w:r>
        <w:rPr>
          <w:rFonts w:ascii="宋体" w:hAnsi="宋体"/>
          <w:b/>
          <w:lang w:eastAsia="zh-CN"/>
        </w:rPr>
        <w:t>未筛分碎石垫层颗粒组成范围</w:t>
      </w:r>
    </w:p>
    <w:p w14:paraId="69ACFE2D">
      <w:pPr>
        <w:pStyle w:val="8"/>
        <w:widowControl w:val="0"/>
        <w:numPr>
          <w:ilvl w:val="0"/>
          <w:numId w:val="0"/>
        </w:numPr>
        <w:spacing w:line="360" w:lineRule="auto"/>
        <w:jc w:val="both"/>
        <w:rPr>
          <w:rFonts w:hint="default"/>
          <w:lang w:val="en-US" w:eastAsia="zh-CN"/>
        </w:rPr>
      </w:pPr>
      <w:r>
        <w:rPr>
          <w:rFonts w:hint="eastAsia" w:ascii="Arial" w:cs="Arial"/>
          <w:b/>
          <w:lang w:eastAsia="zh-CN" w:bidi="ar-SA"/>
        </w:rPr>
        <w:drawing>
          <wp:inline distT="0" distB="0" distL="114300" distR="114300">
            <wp:extent cx="5741035" cy="970915"/>
            <wp:effectExtent l="0" t="0" r="12065" b="635"/>
            <wp:docPr id="37" name="图片 37" descr="1636255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636255153(1)"/>
                    <pic:cNvPicPr>
                      <a:picLocks noChangeAspect="1"/>
                    </pic:cNvPicPr>
                  </pic:nvPicPr>
                  <pic:blipFill>
                    <a:blip r:embed="rId41"/>
                    <a:stretch>
                      <a:fillRect/>
                    </a:stretch>
                  </pic:blipFill>
                  <pic:spPr>
                    <a:xfrm>
                      <a:off x="0" y="0"/>
                      <a:ext cx="5741035" cy="970915"/>
                    </a:xfrm>
                    <a:prstGeom prst="rect">
                      <a:avLst/>
                    </a:prstGeom>
                  </pic:spPr>
                </pic:pic>
              </a:graphicData>
            </a:graphic>
          </wp:inline>
        </w:drawing>
      </w:r>
    </w:p>
    <w:p w14:paraId="193CAC1D">
      <w:pPr>
        <w:widowControl/>
        <w:ind w:firstLine="0" w:firstLineChars="0"/>
        <w:jc w:val="left"/>
        <w:rPr>
          <w:rFonts w:ascii="宋体" w:hAnsi="宋体"/>
          <w:color w:val="000000"/>
          <w:szCs w:val="24"/>
        </w:rPr>
      </w:pPr>
      <w:r>
        <w:rPr>
          <w:rFonts w:hint="eastAsia"/>
        </w:rPr>
        <w:t>（1</w:t>
      </w:r>
      <w:r>
        <w:rPr>
          <w:rFonts w:hint="eastAsia"/>
          <w:lang w:val="en-US" w:eastAsia="zh-CN"/>
        </w:rPr>
        <w:t>2</w:t>
      </w:r>
      <w:r>
        <w:rPr>
          <w:rFonts w:hint="eastAsia"/>
        </w:rPr>
        <w:t>） 侧石、平石</w:t>
      </w:r>
      <w:r>
        <w:rPr>
          <w:rFonts w:hint="eastAsia" w:ascii="宋体" w:hAnsi="宋体"/>
          <w:color w:val="000000"/>
          <w:szCs w:val="24"/>
        </w:rPr>
        <w:t>、压条材料及技术要求</w:t>
      </w:r>
    </w:p>
    <w:p w14:paraId="650FF5EA">
      <w:pPr>
        <w:ind w:firstLine="480"/>
        <w:rPr>
          <w:rFonts w:ascii="宋体" w:hAnsi="宋体"/>
          <w:color w:val="000000"/>
          <w:szCs w:val="24"/>
        </w:rPr>
      </w:pPr>
      <w:r>
        <w:rPr>
          <w:rFonts w:hint="eastAsia" w:ascii="宋体" w:hAnsi="宋体"/>
          <w:color w:val="000000"/>
          <w:szCs w:val="24"/>
        </w:rPr>
        <w:t>侧、平石、压条采用仿花岗及预制混凝土时，强度不能低于C30。</w:t>
      </w:r>
    </w:p>
    <w:p w14:paraId="3059F8A9">
      <w:pPr>
        <w:widowControl/>
        <w:ind w:firstLine="0" w:firstLineChars="0"/>
        <w:jc w:val="left"/>
      </w:pPr>
      <w:r>
        <w:rPr>
          <w:rFonts w:hint="eastAsia" w:ascii="宋体" w:hAnsi="宋体"/>
          <w:color w:val="000000"/>
          <w:szCs w:val="24"/>
        </w:rPr>
        <w:t>（1</w:t>
      </w:r>
      <w:r>
        <w:rPr>
          <w:rFonts w:hint="eastAsia" w:ascii="宋体" w:hAnsi="宋体"/>
          <w:color w:val="000000"/>
          <w:szCs w:val="24"/>
          <w:lang w:val="en-US" w:eastAsia="zh-CN"/>
        </w:rPr>
        <w:t>3</w:t>
      </w:r>
      <w:r>
        <w:rPr>
          <w:rFonts w:hint="eastAsia" w:ascii="宋体" w:hAnsi="宋体"/>
          <w:color w:val="000000"/>
          <w:szCs w:val="24"/>
        </w:rPr>
        <w:t>）土工</w:t>
      </w:r>
      <w:r>
        <w:rPr>
          <w:rFonts w:hint="eastAsia"/>
        </w:rPr>
        <w:t>布材料要求</w:t>
      </w:r>
    </w:p>
    <w:p w14:paraId="06A53F65">
      <w:pPr>
        <w:ind w:firstLine="480"/>
      </w:pPr>
      <w:r>
        <w:rPr>
          <w:rFonts w:hint="eastAsia"/>
        </w:rPr>
        <w:t>土工布采用聚酯长丝</w:t>
      </w:r>
      <w:r>
        <w:rPr>
          <w:rFonts w:hint="eastAsia" w:ascii="宋体" w:hAnsi="宋体"/>
          <w:color w:val="000000"/>
          <w:szCs w:val="24"/>
        </w:rPr>
        <w:t>土工布</w:t>
      </w:r>
      <w:r>
        <w:rPr>
          <w:rFonts w:hint="eastAsia"/>
        </w:rPr>
        <w:t>，技术参数为:标准断裂强度≥65kN/m，经向断裂强度、维向断裂强度非别为≥65kN/m、≥45.5kN/m，经/维向标称强度对应伸长率分别不超35%、30%。</w:t>
      </w:r>
    </w:p>
    <w:p w14:paraId="0C7DAA8F">
      <w:pPr>
        <w:widowControl/>
        <w:ind w:firstLine="0" w:firstLineChars="0"/>
        <w:jc w:val="left"/>
      </w:pPr>
      <w:r>
        <w:rPr>
          <w:rFonts w:hint="eastAsia"/>
        </w:rPr>
        <w:t>（1</w:t>
      </w:r>
      <w:r>
        <w:rPr>
          <w:rFonts w:hint="eastAsia"/>
          <w:lang w:val="en-US" w:eastAsia="zh-CN"/>
        </w:rPr>
        <w:t>4</w:t>
      </w:r>
      <w:r>
        <w:rPr>
          <w:rFonts w:hint="eastAsia"/>
        </w:rPr>
        <w:t>）装饰井盖</w:t>
      </w:r>
    </w:p>
    <w:p w14:paraId="74B205F4">
      <w:pPr>
        <w:ind w:firstLine="480"/>
      </w:pPr>
      <w:r>
        <w:rPr>
          <w:rFonts w:hint="eastAsia"/>
        </w:rPr>
        <w:t>所有人行道上的井盖均加装装饰井盖。人行道装饰井盖中所铺设的人行道砖与周围人行道协调一致，井盖内铺放的砖块与周边的人行道砖应该缝对缝对齐。装饰井盖应与侧石基本平行，如人行道井盖与人行道并不平行，出现歪斜的情况，应尽量将井盖调整至与人行道平行，如无法调整，则应采用较大的装饰井盖整个将井盖盖住，使装饰井盖与侧平石基本平行。装饰井盖表面须铸有说明井盖种类的中文字标（如“燃气”、“供水”、“交通”、“照明”、“消防”）等。</w:t>
      </w:r>
    </w:p>
    <w:p w14:paraId="2904C9A8">
      <w:pPr>
        <w:widowControl/>
        <w:ind w:firstLine="0" w:firstLineChars="0"/>
        <w:jc w:val="left"/>
      </w:pPr>
      <w:r>
        <w:rPr>
          <w:rFonts w:hint="eastAsia"/>
        </w:rPr>
        <w:t>装饰井盖材质为不锈钢板，厚度不下于10mm，并采用加肋钢条进行加固，强度应保证装饰井盖可以承担其上的铺装重量，开启不会导致变形，大尺寸的装饰井盖有必要时可以进行进一步的加固。</w:t>
      </w:r>
    </w:p>
    <w:p w14:paraId="4F5FCED3">
      <w:pPr>
        <w:widowControl/>
        <w:ind w:firstLine="0" w:firstLineChars="0"/>
        <w:jc w:val="left"/>
      </w:pPr>
    </w:p>
    <w:p w14:paraId="52BF50F2">
      <w:pPr>
        <w:widowControl/>
        <w:ind w:firstLine="0" w:firstLineChars="0"/>
        <w:jc w:val="left"/>
      </w:pPr>
    </w:p>
    <w:p w14:paraId="36FA48B9">
      <w:pPr>
        <w:widowControl/>
        <w:ind w:firstLine="0" w:firstLineChars="0"/>
        <w:jc w:val="left"/>
        <w:rPr>
          <w:b/>
          <w:bCs/>
          <w:kern w:val="44"/>
          <w:sz w:val="32"/>
          <w:szCs w:val="44"/>
        </w:rPr>
      </w:pPr>
      <w:r>
        <w:br w:type="page"/>
      </w:r>
    </w:p>
    <w:p w14:paraId="5414F094">
      <w:pPr>
        <w:pStyle w:val="3"/>
        <w:spacing w:before="163" w:after="163"/>
      </w:pPr>
      <w:bookmarkStart w:id="128" w:name="_Toc6357"/>
      <w:r>
        <w:rPr>
          <w:rFonts w:hint="eastAsia"/>
        </w:rPr>
        <w:t>施工和生产技术要求</w:t>
      </w:r>
      <w:bookmarkEnd w:id="128"/>
    </w:p>
    <w:p w14:paraId="425E3DD3">
      <w:pPr>
        <w:pStyle w:val="4"/>
        <w:spacing w:before="163" w:after="163"/>
        <w:ind w:firstLine="602"/>
      </w:pPr>
      <w:bookmarkStart w:id="129" w:name="_Toc19205"/>
      <w:r>
        <w:rPr>
          <w:rFonts w:hint="eastAsia"/>
        </w:rPr>
        <w:t>施工技术要求</w:t>
      </w:r>
      <w:bookmarkEnd w:id="129"/>
    </w:p>
    <w:p w14:paraId="34769C3F">
      <w:pPr>
        <w:ind w:firstLine="480"/>
      </w:pPr>
      <w:r>
        <w:rPr>
          <w:rFonts w:hint="eastAsia"/>
        </w:rPr>
        <w:t>道路工程施工过程中应遵照现行的建设部和交通部颁布的有关道路施工设计规范，质量检验标准遵照《城镇道路工程施工与质量验收规范》（CJJ1-2008）。施工前，对各主要施工工艺制定详细的施工组织计划及施工流程，并征得监理工程师同意后再进行施工作业。</w:t>
      </w:r>
    </w:p>
    <w:p w14:paraId="4554F980">
      <w:pPr>
        <w:ind w:firstLine="480"/>
      </w:pPr>
      <w:r>
        <w:rPr>
          <w:rFonts w:hint="eastAsia"/>
        </w:rPr>
        <w:t>（1）路基施工之前，必须先将原地面表层得耕土、垃圾土、腐植土、草根等等清除干净，并选用符合要求得土石回填夯实，挖土应由边到中、由低至高，分层循序渐进，挖土过程中应保持一定的纵、横坡度和平整度，以利于排水。</w:t>
      </w:r>
    </w:p>
    <w:p w14:paraId="67F46A74">
      <w:pPr>
        <w:ind w:firstLine="480"/>
      </w:pPr>
      <w:r>
        <w:rPr>
          <w:rFonts w:hint="eastAsia"/>
        </w:rPr>
        <w:t>（2）施工前平面放样时，平面设计图及有关设计图已有详尽的桩号、坐标、方位角、尺寸等资料，作为施工放样的依据。对于个别细部，可参照相邻尺寸上下或左右对照放样，并前后顺接。</w:t>
      </w:r>
    </w:p>
    <w:p w14:paraId="26A4E4DF">
      <w:pPr>
        <w:ind w:firstLine="480"/>
      </w:pPr>
      <w:r>
        <w:rPr>
          <w:rFonts w:hint="eastAsia"/>
        </w:rPr>
        <w:t>（3）在低洼路段应做好路基疏水、降水措施。当路基挖至标高后，如果发现土质松软或含水量过大，在采取必要的降水措施后，仍不能达到要求的压实度的地方，可以采用换填或掺石灰进行处理。</w:t>
      </w:r>
    </w:p>
    <w:p w14:paraId="1EECF4BD">
      <w:pPr>
        <w:ind w:firstLine="480"/>
      </w:pPr>
      <w:r>
        <w:rPr>
          <w:rFonts w:hint="eastAsia"/>
        </w:rPr>
        <w:t>（4）路基填料宜选用有一定级配的砾类土、砂类土等粗粒土，路基填料的强度和粒径、分层厚度及压实度标准应满足规范要求。最后修成的路基纵坡、横坡、边坡必须符合设计要求，表层必须平整，不得有明显的凹凸不平。</w:t>
      </w:r>
    </w:p>
    <w:p w14:paraId="0375B335">
      <w:pPr>
        <w:ind w:firstLine="480"/>
      </w:pPr>
      <w:r>
        <w:rPr>
          <w:rFonts w:hint="eastAsia"/>
        </w:rPr>
        <w:t>（5）由于本工程相接的现状道路地下管线众多，施工时应注意保护，避免造成管线损坏事故。新埋设的地下管线应满足埋深大于0.7m的要求，管侧及管顶覆土应薄铺轻夯，对于埋深小于0.7m的管道应采取管顶加固措施。</w:t>
      </w:r>
    </w:p>
    <w:p w14:paraId="5568A2BD">
      <w:pPr>
        <w:ind w:firstLine="480"/>
      </w:pPr>
      <w:r>
        <w:rPr>
          <w:rFonts w:hint="eastAsia"/>
        </w:rPr>
        <w:t>（6）路面结构施工前，应先对路基进行验收，对弯沉达不到要求的必须进行补强；各结构层施工前，必须对其下层顶面进行弯沉值检测，验收合格后方可进行上一结构层的施工。</w:t>
      </w:r>
    </w:p>
    <w:p w14:paraId="2A380620">
      <w:pPr>
        <w:ind w:firstLine="480"/>
      </w:pPr>
      <w:r>
        <w:rPr>
          <w:rFonts w:hint="eastAsia"/>
        </w:rPr>
        <w:t>（7）施工前，施工单位应详细制定施工期间的交通组织方案，以保障施工期间的正常交通运行。</w:t>
      </w:r>
    </w:p>
    <w:p w14:paraId="424FCED2">
      <w:pPr>
        <w:ind w:firstLine="480"/>
      </w:pPr>
      <w:r>
        <w:rPr>
          <w:rFonts w:hint="eastAsia"/>
        </w:rPr>
        <w:t>（8）施工中应注意环境保护，采取适当的措施来减轻或避免对周边环境的影响，应选用低噪音设备或带隔声、消声的设备，严禁高噪音设备在作息时间作业。施工车辆在运输中应采用相应的防护措施，减轻由于施工车辆运行导致的滴漏与扬尘等。</w:t>
      </w:r>
    </w:p>
    <w:p w14:paraId="0ABE15ED">
      <w:pPr>
        <w:ind w:firstLine="480"/>
      </w:pPr>
      <w:r>
        <w:rPr>
          <w:rFonts w:hint="eastAsia"/>
        </w:rPr>
        <w:t>（9）鉴于场区的复杂及施工的不可预见性，在施工过程中若发现图纸问题与现场情况有出入时应及时会知设计单位，及时处理。</w:t>
      </w:r>
    </w:p>
    <w:p w14:paraId="395BCB16">
      <w:pPr>
        <w:ind w:firstLine="480"/>
      </w:pPr>
      <w:r>
        <w:rPr>
          <w:rFonts w:hint="eastAsia"/>
        </w:rPr>
        <w:t>（10）其余未尽事宜均应满足相关施工、验收规范。</w:t>
      </w:r>
    </w:p>
    <w:p w14:paraId="5C5F5203">
      <w:pPr>
        <w:pStyle w:val="4"/>
        <w:spacing w:before="163" w:after="163"/>
      </w:pPr>
      <w:bookmarkStart w:id="130" w:name="_Toc4644"/>
      <w:r>
        <w:rPr>
          <w:rFonts w:hint="eastAsia"/>
        </w:rPr>
        <w:t>路面施工注意事项</w:t>
      </w:r>
      <w:bookmarkEnd w:id="130"/>
    </w:p>
    <w:p w14:paraId="34EEE7FD">
      <w:pPr>
        <w:ind w:firstLine="480"/>
      </w:pPr>
      <w:r>
        <w:rPr>
          <w:rFonts w:hint="eastAsia"/>
        </w:rPr>
        <w:t>（1）路槽工程质量必须符合工程质量检验评定标准后，方可进行基层施工，基层的施工必须遵循《城镇道路工程施工与质量验收规范》（CJJ 1-2008）中的相关规定。</w:t>
      </w:r>
    </w:p>
    <w:p w14:paraId="4C46B258">
      <w:pPr>
        <w:ind w:firstLine="480"/>
      </w:pPr>
      <w:r>
        <w:rPr>
          <w:rFonts w:hint="eastAsia"/>
        </w:rPr>
        <w:t>（2）水泥稳定混合料拌和方法可采用机械拌和、人工拌和，但为了严格控制拌和均匀性，宜采用机械拌和法。</w:t>
      </w:r>
    </w:p>
    <w:p w14:paraId="4F34C737">
      <w:pPr>
        <w:ind w:firstLine="480"/>
      </w:pPr>
      <w:r>
        <w:rPr>
          <w:rFonts w:hint="eastAsia"/>
        </w:rPr>
        <w:t>（3）碾压前必须检查控制混和料的含水量和拌和的均匀性，应在混和料处于或略大于最佳压实含水量时进行碾压。每次压实厚度最小为10cm，最大为20cm。超过20cm 应分层压实，下层压实后，表面洒水润湿，即可施工上层。</w:t>
      </w:r>
    </w:p>
    <w:p w14:paraId="36CB5C60">
      <w:pPr>
        <w:ind w:firstLine="480"/>
      </w:pPr>
      <w:r>
        <w:rPr>
          <w:rFonts w:hint="eastAsia"/>
        </w:rPr>
        <w:t>（4）松铺厚度为压实厚度乘以压实系数，压实系数应按试铺确定。为了防止碾压推移，在碾压时应自两侧压向路中。最后应碾压至表面平整无明显轮迹。</w:t>
      </w:r>
    </w:p>
    <w:p w14:paraId="32A3AF16">
      <w:pPr>
        <w:ind w:firstLine="480"/>
      </w:pPr>
      <w:r>
        <w:rPr>
          <w:rFonts w:hint="eastAsia"/>
        </w:rPr>
        <w:t>（5）压过程中要注意找平，填补处要翻松加料，重新压实成整体，严禁用薄层贴补的办法进行找平。</w:t>
      </w:r>
    </w:p>
    <w:p w14:paraId="4C809B29">
      <w:pPr>
        <w:ind w:firstLine="480"/>
      </w:pPr>
      <w:r>
        <w:rPr>
          <w:rFonts w:hint="eastAsia"/>
        </w:rPr>
        <w:t>（6）分段施工的衔接处要注意留出一定长度不压，预留衔接处要适当加水泥和水重新拌和、整平，与下段同时压实。衔接处也可先压实，待下段施工时再挖松，并适当加水泥和水拌和、整平，与下段同时压实。</w:t>
      </w:r>
    </w:p>
    <w:p w14:paraId="7CCD4843">
      <w:pPr>
        <w:ind w:firstLine="480"/>
      </w:pPr>
      <w:r>
        <w:rPr>
          <w:rFonts w:hint="eastAsia"/>
        </w:rPr>
        <w:t>（7）水泥稳定混合料从加水泥拌和到完成压实的延迟时间（包括干拌时间在内），不应超过3 小时。</w:t>
      </w:r>
    </w:p>
    <w:p w14:paraId="6A5A2068">
      <w:pPr>
        <w:ind w:firstLine="480"/>
      </w:pPr>
      <w:r>
        <w:rPr>
          <w:rFonts w:hint="eastAsia"/>
        </w:rPr>
        <w:t>（8）压成型后，必须及时洒水养护，禁止用水管冲洒，一般养护期不得小于七天，养护结束后应立即施工面层。每天洒水数次，以保持表面润湿为宜。</w:t>
      </w:r>
    </w:p>
    <w:p w14:paraId="1E9A2F8B">
      <w:pPr>
        <w:ind w:firstLine="480"/>
      </w:pPr>
      <w:r>
        <w:rPr>
          <w:rFonts w:hint="eastAsia"/>
        </w:rPr>
        <w:t>（9）雨季施工要注意做好预防措施。根据天气情况，采取分段施工，保证雨前压实。如未经压实，被雨水冲刷，雨后凉至最佳含水量后，再加水泥拌和压实。</w:t>
      </w:r>
    </w:p>
    <w:p w14:paraId="1C1EA158">
      <w:pPr>
        <w:ind w:firstLine="480"/>
      </w:pPr>
      <w:r>
        <w:t>2</w:t>
      </w:r>
      <w:r>
        <w:rPr>
          <w:rFonts w:hint="eastAsia"/>
        </w:rPr>
        <w:t>、 路面面层施工注意事项</w:t>
      </w:r>
    </w:p>
    <w:p w14:paraId="5E206922">
      <w:pPr>
        <w:ind w:firstLine="480"/>
      </w:pPr>
      <w:r>
        <w:rPr>
          <w:rFonts w:hint="eastAsia"/>
        </w:rPr>
        <w:t>（1）改性沥青混合料通常宜在下表规定的普通沥青混合料施工温度的基础上提高10℃～20℃，特殊情况由试验另行确定。热拌普通沥青混合料和改性沥青混合料的摊铺及压实时施工温度要求见《公路沥青路面施工技术规范》（JTG F40-2004）表5.2.2-2 和表5.2.2-3，同时还应满足表5.6.6 中沥青混合料的最低摊铺温度要求。</w:t>
      </w:r>
    </w:p>
    <w:p w14:paraId="1C6E3816">
      <w:pPr>
        <w:ind w:firstLine="480"/>
      </w:pPr>
      <w:r>
        <w:rPr>
          <w:rFonts w:hint="eastAsia"/>
        </w:rPr>
        <w:t>（2）沥青层的施工应采用机械化作业。沥青混合料的松铺系数应根据实际的混合料类型，施工机械和施工工艺等，由试铺试压方法或根据以往实践经验确定，也可按1.15～1.35 的松铺系数选用。</w:t>
      </w:r>
    </w:p>
    <w:p w14:paraId="4B6A6BB3">
      <w:pPr>
        <w:ind w:firstLine="480"/>
      </w:pPr>
      <w:r>
        <w:rPr>
          <w:rFonts w:hint="eastAsia"/>
        </w:rPr>
        <w:t>（3）摊铺前应检查工程施工范围内的井盖框、路缘石等是否已固定至要求高程，侧壁是否已涂好沥青粘层，顶面是否已有保护隔离措施。喷透层油或粘层油时，宜采用沥青洒布机，喷油管宜与路表面形成约30°角，并有适当高度，以便路面上喷洒的透层油或粘油层形成重叠。</w:t>
      </w:r>
    </w:p>
    <w:p w14:paraId="4CB28559">
      <w:pPr>
        <w:ind w:firstLine="480"/>
      </w:pPr>
      <w:r>
        <w:rPr>
          <w:rFonts w:hint="eastAsia"/>
        </w:rPr>
        <w:t>（4）沥青混凝土应尽可能用摊铺机铺筑，摊铺机宜有自动调平装置。</w:t>
      </w:r>
    </w:p>
    <w:p w14:paraId="77B28092">
      <w:pPr>
        <w:ind w:firstLine="480"/>
      </w:pPr>
      <w:r>
        <w:rPr>
          <w:rFonts w:hint="eastAsia"/>
        </w:rPr>
        <w:t>（5）摊铺应尽可能采用全路幅铺筑，如采用数台机械联合摊铺，各机纵向相距约10～20m，纵向搭接至少10cm，以利接缝密合。摊铺机后应配备人员作辅助工作，及时整形。</w:t>
      </w:r>
    </w:p>
    <w:p w14:paraId="15FB47B2">
      <w:pPr>
        <w:ind w:firstLine="480"/>
      </w:pPr>
      <w:r>
        <w:rPr>
          <w:rFonts w:hint="eastAsia"/>
        </w:rPr>
        <w:t>（6）铺筑多层混合料时，上下层的接缝应错开，纵缝至少15cm，横缝至少1m。道路面层接缝应削齐接平，粗粒混合料和联结层允许斜接，接缝处均应涂刷沥青粘层，接缝表面应予烫平。</w:t>
      </w:r>
    </w:p>
    <w:p w14:paraId="63FA2572">
      <w:pPr>
        <w:ind w:firstLine="480"/>
      </w:pPr>
      <w:r>
        <w:rPr>
          <w:rFonts w:hint="eastAsia"/>
        </w:rPr>
        <w:t>（7）碾压自路边压向路中。要配备与摊铺速度相适应的压路机数台，使碾压温度能达到规范要求。</w:t>
      </w:r>
    </w:p>
    <w:p w14:paraId="0E7B5F95">
      <w:pPr>
        <w:ind w:firstLine="480"/>
      </w:pPr>
      <w:r>
        <w:rPr>
          <w:rFonts w:hint="eastAsia"/>
        </w:rPr>
        <w:t>碾压顺序如下：接缝处预压→全路初压→全路复压→全路终压。</w:t>
      </w:r>
    </w:p>
    <w:p w14:paraId="2E0E9073">
      <w:pPr>
        <w:ind w:firstLine="480"/>
      </w:pPr>
      <w:r>
        <w:rPr>
          <w:rFonts w:hint="eastAsia"/>
        </w:rPr>
        <w:t>每次来回轨迹重叠，双轨压路机重叠30cm 左右，三轮压路机重叠后轮宽度1/2 左右。</w:t>
      </w:r>
    </w:p>
    <w:p w14:paraId="1C21EBC9">
      <w:pPr>
        <w:ind w:firstLine="480"/>
      </w:pPr>
      <w:r>
        <w:rPr>
          <w:rFonts w:hint="eastAsia"/>
        </w:rPr>
        <w:t>（9）压路机型的轻重选择一般为：初压轻型→复压重型→终压轻型。如沥青摊铺机已有夯实装置，亦可省去初压工序。</w:t>
      </w:r>
    </w:p>
    <w:p w14:paraId="118AE85B">
      <w:pPr>
        <w:pStyle w:val="4"/>
        <w:spacing w:before="163" w:after="163"/>
        <w:ind w:firstLine="602"/>
      </w:pPr>
      <w:bookmarkStart w:id="131" w:name="_Toc31529"/>
      <w:r>
        <w:rPr>
          <w:rFonts w:hint="eastAsia"/>
        </w:rPr>
        <w:t>安全生产、环境及职业健康安全管理</w:t>
      </w:r>
      <w:bookmarkEnd w:id="131"/>
    </w:p>
    <w:p w14:paraId="1900AAFA">
      <w:pPr>
        <w:ind w:firstLine="480"/>
      </w:pPr>
      <w:r>
        <w:rPr>
          <w:rFonts w:hint="eastAsia"/>
        </w:rPr>
        <w:t>（1）本工程场地周边环境有民居、村落分布，施工单位进场后，应逐一查明工程场区周边状况，重视施工过程对周边环境可能造成的人员、物体破坏的安全影响。</w:t>
      </w:r>
    </w:p>
    <w:p w14:paraId="49ABE9F9">
      <w:pPr>
        <w:ind w:firstLine="480"/>
      </w:pPr>
      <w:r>
        <w:rPr>
          <w:rFonts w:hint="eastAsia"/>
        </w:rPr>
        <w:t xml:space="preserve">（2）施工单位应根据《公路工程施工安全技术规范》（JTGF90-2015）、《广东省市政基础设施工程施工安全管理标准》（DBJ/T 15-140-2018），结合工程场地的情况、施工作业内容、设计文件要求等，提出本工程的安全风险源，制定有针对性的施工安全专项方案及作业指导书，在组织架构、施工方案、工艺流程、监管机制、应急预案等方面，提出相应措施及管理细则，交监理及有关安监部门审批备案，经批准后方可施工，并在实施中切实遵照执行。 </w:t>
      </w:r>
    </w:p>
    <w:p w14:paraId="633BD54A">
      <w:pPr>
        <w:ind w:firstLine="480"/>
      </w:pPr>
      <w:r>
        <w:rPr>
          <w:rFonts w:hint="eastAsia"/>
        </w:rPr>
        <w:t>（3）凡对地下土层进行开槽、钻孔、地基处理等工序前，需对地面以下3米深度范围进行人工探挖，确认无地下管线后方可施工。</w:t>
      </w:r>
    </w:p>
    <w:p w14:paraId="09725DF0">
      <w:pPr>
        <w:ind w:firstLine="480"/>
      </w:pPr>
      <w:r>
        <w:rPr>
          <w:rFonts w:hint="eastAsia"/>
        </w:rPr>
        <w:t>（4）边坡施工应严格按照设计要求，遵循分区、分段、分层顺序开挖。</w:t>
      </w:r>
    </w:p>
    <w:p w14:paraId="038A82CE">
      <w:pPr>
        <w:ind w:firstLine="480"/>
      </w:pPr>
      <w:r>
        <w:rPr>
          <w:rFonts w:hint="eastAsia"/>
        </w:rPr>
        <w:t>（5）做好边坡排水系统施工，包括永久的与临时的，施工过程中保持排水顺畅。</w:t>
      </w:r>
    </w:p>
    <w:p w14:paraId="73C8B84E">
      <w:pPr>
        <w:ind w:firstLine="480"/>
      </w:pPr>
      <w:r>
        <w:rPr>
          <w:rFonts w:hint="eastAsia"/>
        </w:rPr>
        <w:t>（6）施工过程应按设计要求做好监测，实行动态信息化管理，监测数据应及时反馈给业主及设计单位，如出现坡面滚砂（石）、坡脚隆土的现象，应立即报告监理、业主及设计单位，尽快处理。</w:t>
      </w:r>
    </w:p>
    <w:p w14:paraId="76536D43">
      <w:pPr>
        <w:ind w:firstLine="480"/>
      </w:pPr>
      <w:r>
        <w:rPr>
          <w:rFonts w:hint="eastAsia"/>
        </w:rPr>
        <w:t>（7）避免在坡脚或挡墙前趾前超挖，如必须同时开挖的地下管线（本工程或其他工程）施工，应复核边坡稳定性，并采取相关措施后施工。</w:t>
      </w:r>
    </w:p>
    <w:p w14:paraId="487ADEB9">
      <w:pPr>
        <w:ind w:firstLine="480"/>
      </w:pPr>
      <w:r>
        <w:rPr>
          <w:rFonts w:hint="eastAsia"/>
        </w:rPr>
        <w:t>（8）除本说明提及的施工安全要求外，施工单位还应根据场地环境、施工工艺特点及安全风险分析，制定相应安全措施，以策安全。</w:t>
      </w:r>
    </w:p>
    <w:p w14:paraId="3853B16C">
      <w:pPr>
        <w:pStyle w:val="4"/>
        <w:spacing w:before="163" w:after="163"/>
      </w:pPr>
      <w:bookmarkStart w:id="132" w:name="_Toc16032"/>
      <w:r>
        <w:rPr>
          <w:rFonts w:hint="eastAsia"/>
        </w:rPr>
        <w:t>危险性较大的分部分项工程对应部位与环节识别及措施的总体要求</w:t>
      </w:r>
      <w:bookmarkEnd w:id="132"/>
    </w:p>
    <w:p w14:paraId="4269FB5E">
      <w:pPr>
        <w:ind w:firstLine="480"/>
      </w:pPr>
      <w:r>
        <w:rPr>
          <w:rFonts w:hint="eastAsia"/>
        </w:rPr>
        <w:t>依据住房和城乡建设部《危险性较大的分部分项工程安全管理规定》（住房城乡建设部令第37号）、中华人民共和国住房和城乡建设部办公厅《住房城乡建设部办公厅关于实施《危险性较大的分部分项安全管理规定》有关问题的通知》（建办质【2018】31号），本工程涉及危大工程的重点部位和环节以及相应的保障工程周边环境安全和工程施工安全的意见详见下表“危险性较大的分部分项工程及相应保障安全的意见”。</w:t>
      </w:r>
    </w:p>
    <w:p w14:paraId="76DD2E7F">
      <w:pPr>
        <w:ind w:firstLine="480"/>
      </w:pPr>
      <w:r>
        <w:rPr>
          <w:rFonts w:hint="eastAsia"/>
        </w:rPr>
        <w:t>道路工程--危险性较大的分部分项工程及相应保障安全的意见</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2"/>
        <w:gridCol w:w="843"/>
        <w:gridCol w:w="2901"/>
        <w:gridCol w:w="2825"/>
      </w:tblGrid>
      <w:tr w14:paraId="3274B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8" w:hRule="atLeast"/>
          <w:jc w:val="center"/>
        </w:trPr>
        <w:tc>
          <w:tcPr>
            <w:tcW w:w="1742" w:type="pct"/>
            <w:vAlign w:val="center"/>
          </w:tcPr>
          <w:p w14:paraId="240549F6">
            <w:pPr>
              <w:spacing w:line="360" w:lineRule="exact"/>
              <w:ind w:firstLine="0" w:firstLineChars="0"/>
              <w:rPr>
                <w:sz w:val="21"/>
                <w:szCs w:val="20"/>
              </w:rPr>
            </w:pPr>
            <w:r>
              <w:rPr>
                <w:rFonts w:hint="eastAsia"/>
                <w:sz w:val="21"/>
                <w:szCs w:val="20"/>
              </w:rPr>
              <w:t>危险性较大的分部分项工程范围</w:t>
            </w:r>
          </w:p>
        </w:tc>
        <w:tc>
          <w:tcPr>
            <w:tcW w:w="418" w:type="pct"/>
            <w:vAlign w:val="center"/>
          </w:tcPr>
          <w:p w14:paraId="79F33862">
            <w:pPr>
              <w:spacing w:line="360" w:lineRule="exact"/>
              <w:ind w:firstLine="0" w:firstLineChars="0"/>
              <w:rPr>
                <w:sz w:val="21"/>
                <w:szCs w:val="20"/>
              </w:rPr>
            </w:pPr>
            <w:r>
              <w:rPr>
                <w:rFonts w:hint="eastAsia"/>
                <w:sz w:val="21"/>
                <w:szCs w:val="20"/>
              </w:rPr>
              <w:t>对应部位与环节</w:t>
            </w:r>
          </w:p>
        </w:tc>
        <w:tc>
          <w:tcPr>
            <w:tcW w:w="1439" w:type="pct"/>
            <w:vAlign w:val="center"/>
          </w:tcPr>
          <w:p w14:paraId="02C6F587">
            <w:pPr>
              <w:spacing w:line="360" w:lineRule="exact"/>
              <w:ind w:firstLine="0" w:firstLineChars="0"/>
              <w:rPr>
                <w:sz w:val="21"/>
                <w:szCs w:val="20"/>
              </w:rPr>
            </w:pPr>
            <w:r>
              <w:rPr>
                <w:rFonts w:hint="eastAsia"/>
                <w:sz w:val="21"/>
                <w:szCs w:val="20"/>
              </w:rPr>
              <w:t>保障工程施工安全的意见</w:t>
            </w:r>
          </w:p>
        </w:tc>
        <w:tc>
          <w:tcPr>
            <w:tcW w:w="1401" w:type="pct"/>
            <w:vAlign w:val="center"/>
          </w:tcPr>
          <w:p w14:paraId="25C5DB24">
            <w:pPr>
              <w:spacing w:line="360" w:lineRule="exact"/>
              <w:ind w:firstLine="0" w:firstLineChars="0"/>
              <w:jc w:val="left"/>
              <w:rPr>
                <w:sz w:val="21"/>
                <w:szCs w:val="20"/>
              </w:rPr>
            </w:pPr>
            <w:r>
              <w:rPr>
                <w:rFonts w:hint="eastAsia"/>
                <w:sz w:val="21"/>
                <w:szCs w:val="20"/>
              </w:rPr>
              <w:t>保障工程周边环境安全的意见</w:t>
            </w:r>
          </w:p>
        </w:tc>
      </w:tr>
      <w:tr w14:paraId="47B29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742" w:type="pct"/>
            <w:vMerge w:val="restart"/>
            <w:vAlign w:val="center"/>
          </w:tcPr>
          <w:p w14:paraId="427D620B">
            <w:pPr>
              <w:spacing w:line="360" w:lineRule="exact"/>
              <w:ind w:firstLine="0" w:firstLineChars="0"/>
              <w:rPr>
                <w:sz w:val="21"/>
                <w:szCs w:val="20"/>
              </w:rPr>
            </w:pPr>
            <w:r>
              <w:rPr>
                <w:rFonts w:hint="eastAsia"/>
                <w:sz w:val="21"/>
                <w:szCs w:val="20"/>
              </w:rPr>
              <w:t>基坑工程：开挖深度超过</w:t>
            </w:r>
            <w:r>
              <w:rPr>
                <w:sz w:val="21"/>
                <w:szCs w:val="20"/>
              </w:rPr>
              <w:t>3m</w:t>
            </w:r>
            <w:r>
              <w:rPr>
                <w:rFonts w:hint="eastAsia"/>
                <w:sz w:val="21"/>
                <w:szCs w:val="20"/>
              </w:rPr>
              <w:t>（含</w:t>
            </w:r>
            <w:r>
              <w:rPr>
                <w:sz w:val="21"/>
                <w:szCs w:val="20"/>
              </w:rPr>
              <w:t>3m</w:t>
            </w:r>
            <w:r>
              <w:rPr>
                <w:rFonts w:hint="eastAsia"/>
                <w:sz w:val="21"/>
                <w:szCs w:val="20"/>
              </w:rPr>
              <w:t>）的基坑（槽）的土方开挖、支护、降水工程。开挖深度虽未超过</w:t>
            </w:r>
            <w:r>
              <w:rPr>
                <w:sz w:val="21"/>
                <w:szCs w:val="20"/>
              </w:rPr>
              <w:t>3m</w:t>
            </w:r>
            <w:r>
              <w:rPr>
                <w:rFonts w:hint="eastAsia"/>
                <w:sz w:val="21"/>
                <w:szCs w:val="20"/>
              </w:rPr>
              <w:t>，但地质条件、周围环境和地下管线复杂，或影响毗邻建、构筑物安全的基坑（槽）的土方开挖、支护、降水工程。</w:t>
            </w:r>
          </w:p>
        </w:tc>
        <w:tc>
          <w:tcPr>
            <w:tcW w:w="418" w:type="pct"/>
            <w:vMerge w:val="restart"/>
            <w:vAlign w:val="center"/>
          </w:tcPr>
          <w:p w14:paraId="5F271257">
            <w:pPr>
              <w:spacing w:line="360" w:lineRule="exact"/>
              <w:ind w:firstLine="0" w:firstLineChars="0"/>
              <w:rPr>
                <w:sz w:val="21"/>
                <w:szCs w:val="20"/>
              </w:rPr>
            </w:pPr>
            <w:r>
              <w:rPr>
                <w:rFonts w:hint="eastAsia"/>
                <w:sz w:val="21"/>
                <w:szCs w:val="20"/>
              </w:rPr>
              <w:t>挡土墙开挖、路基土方开挖工程</w:t>
            </w:r>
          </w:p>
        </w:tc>
        <w:tc>
          <w:tcPr>
            <w:tcW w:w="1439" w:type="pct"/>
            <w:vMerge w:val="restart"/>
            <w:vAlign w:val="center"/>
          </w:tcPr>
          <w:p w14:paraId="78F78558">
            <w:pPr>
              <w:spacing w:line="360" w:lineRule="exact"/>
              <w:ind w:firstLine="0" w:firstLineChars="0"/>
              <w:rPr>
                <w:sz w:val="21"/>
                <w:szCs w:val="20"/>
              </w:rPr>
            </w:pPr>
            <w:r>
              <w:rPr>
                <w:rFonts w:hint="eastAsia"/>
                <w:sz w:val="21"/>
                <w:szCs w:val="20"/>
              </w:rPr>
              <w:t>基坑开挖前，应采用各种勘探、勘察方法查明基坑内及基坑周边的各类建（构）筑物和各类地下设施的分布和现状，并有针对性的采取保护措施；施工单位应提供严格、周密、可行的施工组织设计及监测方案，并经相关部门审核后方可施工．施工过程中应采取有效的防排水措施。</w:t>
            </w:r>
          </w:p>
        </w:tc>
        <w:tc>
          <w:tcPr>
            <w:tcW w:w="1401" w:type="pct"/>
            <w:vMerge w:val="restart"/>
            <w:vAlign w:val="center"/>
          </w:tcPr>
          <w:p w14:paraId="4AC376D5">
            <w:pPr>
              <w:spacing w:line="360" w:lineRule="exact"/>
              <w:ind w:firstLine="0" w:firstLineChars="0"/>
              <w:rPr>
                <w:sz w:val="21"/>
                <w:szCs w:val="20"/>
              </w:rPr>
            </w:pPr>
            <w:r>
              <w:rPr>
                <w:rFonts w:hint="eastAsia"/>
                <w:sz w:val="21"/>
                <w:szCs w:val="20"/>
              </w:rPr>
              <w:t>对周边3倍基坑开挖深度范围内的建（构）筑物及地下管线进行监测，实施动态设计和信息化施工，必要时采取可靠的保护措施．</w:t>
            </w:r>
          </w:p>
        </w:tc>
      </w:tr>
      <w:tr w14:paraId="6CF11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742" w:type="pct"/>
            <w:vMerge w:val="continue"/>
            <w:vAlign w:val="center"/>
          </w:tcPr>
          <w:p w14:paraId="29943F62">
            <w:pPr>
              <w:spacing w:line="360" w:lineRule="exact"/>
              <w:ind w:firstLine="0" w:firstLineChars="0"/>
              <w:rPr>
                <w:sz w:val="21"/>
                <w:szCs w:val="20"/>
              </w:rPr>
            </w:pPr>
          </w:p>
        </w:tc>
        <w:tc>
          <w:tcPr>
            <w:tcW w:w="418" w:type="pct"/>
            <w:vMerge w:val="continue"/>
            <w:vAlign w:val="center"/>
          </w:tcPr>
          <w:p w14:paraId="37504F5F">
            <w:pPr>
              <w:spacing w:line="360" w:lineRule="exact"/>
              <w:ind w:firstLine="0" w:firstLineChars="0"/>
              <w:rPr>
                <w:sz w:val="21"/>
                <w:szCs w:val="20"/>
              </w:rPr>
            </w:pPr>
          </w:p>
        </w:tc>
        <w:tc>
          <w:tcPr>
            <w:tcW w:w="1439" w:type="pct"/>
            <w:vMerge w:val="continue"/>
            <w:vAlign w:val="center"/>
          </w:tcPr>
          <w:p w14:paraId="1F01AEE7">
            <w:pPr>
              <w:spacing w:line="360" w:lineRule="exact"/>
              <w:ind w:firstLine="0" w:firstLineChars="0"/>
              <w:rPr>
                <w:sz w:val="21"/>
                <w:szCs w:val="20"/>
              </w:rPr>
            </w:pPr>
          </w:p>
        </w:tc>
        <w:tc>
          <w:tcPr>
            <w:tcW w:w="1401" w:type="pct"/>
            <w:vMerge w:val="continue"/>
            <w:vAlign w:val="center"/>
          </w:tcPr>
          <w:p w14:paraId="1E9FA106">
            <w:pPr>
              <w:spacing w:line="360" w:lineRule="exact"/>
              <w:ind w:firstLine="0" w:firstLineChars="0"/>
              <w:rPr>
                <w:sz w:val="21"/>
                <w:szCs w:val="20"/>
              </w:rPr>
            </w:pPr>
          </w:p>
        </w:tc>
      </w:tr>
      <w:tr w14:paraId="7A2DC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4" w:hRule="atLeast"/>
          <w:jc w:val="center"/>
        </w:trPr>
        <w:tc>
          <w:tcPr>
            <w:tcW w:w="1742" w:type="pct"/>
            <w:vMerge w:val="continue"/>
            <w:vAlign w:val="center"/>
          </w:tcPr>
          <w:p w14:paraId="7777E2C7">
            <w:pPr>
              <w:spacing w:line="360" w:lineRule="exact"/>
              <w:ind w:firstLine="0" w:firstLineChars="0"/>
              <w:rPr>
                <w:sz w:val="21"/>
                <w:szCs w:val="20"/>
              </w:rPr>
            </w:pPr>
          </w:p>
        </w:tc>
        <w:tc>
          <w:tcPr>
            <w:tcW w:w="418" w:type="pct"/>
            <w:vMerge w:val="continue"/>
            <w:vAlign w:val="center"/>
          </w:tcPr>
          <w:p w14:paraId="4D43EDFE">
            <w:pPr>
              <w:spacing w:line="360" w:lineRule="exact"/>
              <w:ind w:firstLine="0" w:firstLineChars="0"/>
              <w:rPr>
                <w:sz w:val="21"/>
                <w:szCs w:val="20"/>
              </w:rPr>
            </w:pPr>
          </w:p>
        </w:tc>
        <w:tc>
          <w:tcPr>
            <w:tcW w:w="1439" w:type="pct"/>
            <w:vMerge w:val="continue"/>
            <w:vAlign w:val="center"/>
          </w:tcPr>
          <w:p w14:paraId="420E134C">
            <w:pPr>
              <w:spacing w:line="360" w:lineRule="exact"/>
              <w:ind w:firstLine="0" w:firstLineChars="0"/>
              <w:rPr>
                <w:sz w:val="21"/>
                <w:szCs w:val="20"/>
              </w:rPr>
            </w:pPr>
          </w:p>
        </w:tc>
        <w:tc>
          <w:tcPr>
            <w:tcW w:w="1401" w:type="pct"/>
            <w:vMerge w:val="continue"/>
            <w:vAlign w:val="center"/>
          </w:tcPr>
          <w:p w14:paraId="31072546">
            <w:pPr>
              <w:spacing w:line="360" w:lineRule="exact"/>
              <w:ind w:firstLine="0" w:firstLineChars="0"/>
              <w:rPr>
                <w:sz w:val="21"/>
                <w:szCs w:val="20"/>
              </w:rPr>
            </w:pPr>
          </w:p>
        </w:tc>
      </w:tr>
      <w:tr w14:paraId="20CC0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742" w:type="pct"/>
            <w:vMerge w:val="restart"/>
            <w:vAlign w:val="center"/>
          </w:tcPr>
          <w:p w14:paraId="482C9EF7">
            <w:pPr>
              <w:spacing w:line="360" w:lineRule="exact"/>
              <w:ind w:firstLine="0" w:firstLineChars="0"/>
              <w:rPr>
                <w:sz w:val="21"/>
                <w:szCs w:val="20"/>
              </w:rPr>
            </w:pPr>
            <w:r>
              <w:rPr>
                <w:rFonts w:hint="eastAsia"/>
                <w:sz w:val="21"/>
                <w:szCs w:val="20"/>
              </w:rPr>
              <w:t>模板工程及支撑体系：各类工具式模板工程：包括滑模、爬模、飞模等工程。混凝土模板支撑工程：搭设高度</w:t>
            </w:r>
            <w:r>
              <w:rPr>
                <w:sz w:val="21"/>
                <w:szCs w:val="20"/>
              </w:rPr>
              <w:t>5m</w:t>
            </w:r>
            <w:r>
              <w:rPr>
                <w:rFonts w:hint="eastAsia"/>
                <w:sz w:val="21"/>
                <w:szCs w:val="20"/>
              </w:rPr>
              <w:t>及以上，或搭设跨度</w:t>
            </w:r>
            <w:r>
              <w:rPr>
                <w:sz w:val="21"/>
                <w:szCs w:val="20"/>
              </w:rPr>
              <w:t>10m</w:t>
            </w:r>
            <w:r>
              <w:rPr>
                <w:rFonts w:hint="eastAsia"/>
                <w:sz w:val="21"/>
                <w:szCs w:val="20"/>
              </w:rPr>
              <w:t>及以上，或施工总荷载（荷载效应基本组合的设计值，以下简称设计值）</w:t>
            </w:r>
            <w:r>
              <w:rPr>
                <w:sz w:val="21"/>
                <w:szCs w:val="20"/>
              </w:rPr>
              <w:t>10kN/m2</w:t>
            </w:r>
            <w:r>
              <w:rPr>
                <w:rFonts w:hint="eastAsia"/>
                <w:sz w:val="21"/>
                <w:szCs w:val="20"/>
              </w:rPr>
              <w:t>及以上，或集中线荷载（设计值）</w:t>
            </w:r>
            <w:r>
              <w:rPr>
                <w:sz w:val="21"/>
                <w:szCs w:val="20"/>
              </w:rPr>
              <w:t>15kN/m</w:t>
            </w:r>
            <w:r>
              <w:rPr>
                <w:rFonts w:hint="eastAsia"/>
                <w:sz w:val="21"/>
                <w:szCs w:val="20"/>
              </w:rPr>
              <w:t>及以上，或高度大于支撑水平投影宽度且相对独立无联系构件的混凝土模板支撑工程。承重支撑体系：用于钢结构安装等满堂支撑体系。</w:t>
            </w:r>
          </w:p>
        </w:tc>
        <w:tc>
          <w:tcPr>
            <w:tcW w:w="418" w:type="pct"/>
            <w:vMerge w:val="restart"/>
            <w:vAlign w:val="center"/>
          </w:tcPr>
          <w:p w14:paraId="72DB3C13">
            <w:pPr>
              <w:spacing w:line="360" w:lineRule="exact"/>
              <w:ind w:firstLine="0" w:firstLineChars="0"/>
              <w:rPr>
                <w:sz w:val="21"/>
                <w:szCs w:val="20"/>
              </w:rPr>
            </w:pPr>
            <w:r>
              <w:rPr>
                <w:rFonts w:hint="eastAsia"/>
                <w:sz w:val="21"/>
                <w:szCs w:val="20"/>
              </w:rPr>
              <w:t>挡土墙支模</w:t>
            </w:r>
          </w:p>
        </w:tc>
        <w:tc>
          <w:tcPr>
            <w:tcW w:w="1439" w:type="pct"/>
            <w:vMerge w:val="restart"/>
            <w:vAlign w:val="center"/>
          </w:tcPr>
          <w:p w14:paraId="5F9C96A4">
            <w:pPr>
              <w:spacing w:line="360" w:lineRule="exact"/>
              <w:ind w:firstLine="0" w:firstLineChars="0"/>
              <w:rPr>
                <w:sz w:val="21"/>
                <w:szCs w:val="20"/>
              </w:rPr>
            </w:pPr>
            <w:r>
              <w:rPr>
                <w:rFonts w:hint="eastAsia"/>
                <w:sz w:val="21"/>
                <w:szCs w:val="20"/>
              </w:rPr>
              <w:t>模板及支架应具有足够的承载力、刚度和稳定性，应能可靠的承受施工过程中所产生的各类荷载，模板不凹凸、支架不偏移、不扭曲。</w:t>
            </w:r>
          </w:p>
        </w:tc>
        <w:tc>
          <w:tcPr>
            <w:tcW w:w="1401" w:type="pct"/>
            <w:vMerge w:val="restart"/>
            <w:vAlign w:val="center"/>
          </w:tcPr>
          <w:p w14:paraId="154C0798">
            <w:pPr>
              <w:spacing w:line="360" w:lineRule="exact"/>
              <w:ind w:firstLine="0" w:firstLineChars="0"/>
              <w:rPr>
                <w:sz w:val="21"/>
                <w:szCs w:val="20"/>
              </w:rPr>
            </w:pPr>
            <w:r>
              <w:rPr>
                <w:rFonts w:hint="eastAsia"/>
                <w:sz w:val="21"/>
                <w:szCs w:val="20"/>
              </w:rPr>
              <w:t>安装和拆模应有专人指挥，并在下面标出作业区，暂停人员和车辆通过．拆模时，应按顺序逐块拆除，避免整体塌落：拆除顶板时，应设临时支撑确保安全作业。施工单位应及时制作施工围墙（圈栏），在通行位置设置警示牌，采取措施减少工地现场的噪音及粉尘污染。</w:t>
            </w:r>
          </w:p>
        </w:tc>
      </w:tr>
      <w:tr w14:paraId="48980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1742" w:type="pct"/>
            <w:vMerge w:val="continue"/>
            <w:vAlign w:val="center"/>
          </w:tcPr>
          <w:p w14:paraId="4E7EE9C6">
            <w:pPr>
              <w:spacing w:line="360" w:lineRule="exact"/>
              <w:ind w:firstLine="0" w:firstLineChars="0"/>
              <w:rPr>
                <w:sz w:val="21"/>
                <w:szCs w:val="20"/>
              </w:rPr>
            </w:pPr>
          </w:p>
        </w:tc>
        <w:tc>
          <w:tcPr>
            <w:tcW w:w="418" w:type="pct"/>
            <w:vMerge w:val="continue"/>
            <w:vAlign w:val="center"/>
          </w:tcPr>
          <w:p w14:paraId="75DB38ED">
            <w:pPr>
              <w:spacing w:line="360" w:lineRule="exact"/>
              <w:ind w:firstLine="0" w:firstLineChars="0"/>
              <w:rPr>
                <w:sz w:val="21"/>
                <w:szCs w:val="20"/>
              </w:rPr>
            </w:pPr>
          </w:p>
        </w:tc>
        <w:tc>
          <w:tcPr>
            <w:tcW w:w="1439" w:type="pct"/>
            <w:vMerge w:val="continue"/>
            <w:vAlign w:val="center"/>
          </w:tcPr>
          <w:p w14:paraId="7623E0CB">
            <w:pPr>
              <w:spacing w:line="360" w:lineRule="exact"/>
              <w:ind w:firstLine="0" w:firstLineChars="0"/>
              <w:rPr>
                <w:sz w:val="21"/>
                <w:szCs w:val="20"/>
              </w:rPr>
            </w:pPr>
          </w:p>
        </w:tc>
        <w:tc>
          <w:tcPr>
            <w:tcW w:w="1401" w:type="pct"/>
            <w:vMerge w:val="continue"/>
            <w:vAlign w:val="center"/>
          </w:tcPr>
          <w:p w14:paraId="5973BFF5">
            <w:pPr>
              <w:spacing w:line="360" w:lineRule="exact"/>
              <w:ind w:firstLine="0" w:firstLineChars="0"/>
              <w:rPr>
                <w:sz w:val="21"/>
                <w:szCs w:val="20"/>
              </w:rPr>
            </w:pPr>
          </w:p>
        </w:tc>
      </w:tr>
      <w:tr w14:paraId="72848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742" w:type="pct"/>
            <w:vMerge w:val="continue"/>
            <w:vAlign w:val="center"/>
          </w:tcPr>
          <w:p w14:paraId="0C9FC709">
            <w:pPr>
              <w:spacing w:line="360" w:lineRule="exact"/>
              <w:ind w:firstLine="0" w:firstLineChars="0"/>
              <w:rPr>
                <w:sz w:val="21"/>
                <w:szCs w:val="20"/>
              </w:rPr>
            </w:pPr>
          </w:p>
        </w:tc>
        <w:tc>
          <w:tcPr>
            <w:tcW w:w="418" w:type="pct"/>
            <w:vMerge w:val="continue"/>
            <w:vAlign w:val="center"/>
          </w:tcPr>
          <w:p w14:paraId="68A358CB">
            <w:pPr>
              <w:spacing w:line="360" w:lineRule="exact"/>
              <w:ind w:firstLine="0" w:firstLineChars="0"/>
              <w:rPr>
                <w:sz w:val="21"/>
                <w:szCs w:val="20"/>
              </w:rPr>
            </w:pPr>
          </w:p>
        </w:tc>
        <w:tc>
          <w:tcPr>
            <w:tcW w:w="1439" w:type="pct"/>
            <w:vMerge w:val="continue"/>
            <w:vAlign w:val="center"/>
          </w:tcPr>
          <w:p w14:paraId="5D924A3F">
            <w:pPr>
              <w:spacing w:line="360" w:lineRule="exact"/>
              <w:ind w:firstLine="0" w:firstLineChars="0"/>
              <w:rPr>
                <w:sz w:val="21"/>
                <w:szCs w:val="20"/>
              </w:rPr>
            </w:pPr>
          </w:p>
        </w:tc>
        <w:tc>
          <w:tcPr>
            <w:tcW w:w="1401" w:type="pct"/>
            <w:vMerge w:val="continue"/>
            <w:vAlign w:val="center"/>
          </w:tcPr>
          <w:p w14:paraId="50373F4F">
            <w:pPr>
              <w:spacing w:line="360" w:lineRule="exact"/>
              <w:ind w:firstLine="0" w:firstLineChars="0"/>
              <w:rPr>
                <w:sz w:val="21"/>
                <w:szCs w:val="20"/>
              </w:rPr>
            </w:pPr>
          </w:p>
        </w:tc>
      </w:tr>
      <w:tr w14:paraId="0995F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742" w:type="pct"/>
            <w:vMerge w:val="continue"/>
            <w:vAlign w:val="center"/>
          </w:tcPr>
          <w:p w14:paraId="622891CC">
            <w:pPr>
              <w:spacing w:line="360" w:lineRule="exact"/>
              <w:ind w:firstLine="0" w:firstLineChars="0"/>
              <w:rPr>
                <w:sz w:val="21"/>
                <w:szCs w:val="20"/>
              </w:rPr>
            </w:pPr>
          </w:p>
        </w:tc>
        <w:tc>
          <w:tcPr>
            <w:tcW w:w="418" w:type="pct"/>
            <w:vMerge w:val="continue"/>
            <w:vAlign w:val="center"/>
          </w:tcPr>
          <w:p w14:paraId="496E1D98">
            <w:pPr>
              <w:spacing w:line="360" w:lineRule="exact"/>
              <w:ind w:firstLine="0" w:firstLineChars="0"/>
              <w:rPr>
                <w:sz w:val="21"/>
                <w:szCs w:val="20"/>
              </w:rPr>
            </w:pPr>
          </w:p>
        </w:tc>
        <w:tc>
          <w:tcPr>
            <w:tcW w:w="1439" w:type="pct"/>
            <w:vMerge w:val="continue"/>
            <w:vAlign w:val="center"/>
          </w:tcPr>
          <w:p w14:paraId="20722BEF">
            <w:pPr>
              <w:spacing w:line="360" w:lineRule="exact"/>
              <w:ind w:firstLine="0" w:firstLineChars="0"/>
              <w:rPr>
                <w:sz w:val="21"/>
                <w:szCs w:val="20"/>
              </w:rPr>
            </w:pPr>
          </w:p>
        </w:tc>
        <w:tc>
          <w:tcPr>
            <w:tcW w:w="1401" w:type="pct"/>
            <w:vMerge w:val="continue"/>
            <w:vAlign w:val="center"/>
          </w:tcPr>
          <w:p w14:paraId="570C2FE3">
            <w:pPr>
              <w:spacing w:line="360" w:lineRule="exact"/>
              <w:ind w:firstLine="0" w:firstLineChars="0"/>
              <w:rPr>
                <w:sz w:val="21"/>
                <w:szCs w:val="20"/>
              </w:rPr>
            </w:pPr>
          </w:p>
        </w:tc>
      </w:tr>
      <w:tr w14:paraId="01502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0" w:hRule="atLeast"/>
          <w:jc w:val="center"/>
        </w:trPr>
        <w:tc>
          <w:tcPr>
            <w:tcW w:w="1742" w:type="pct"/>
            <w:vMerge w:val="continue"/>
            <w:vAlign w:val="center"/>
          </w:tcPr>
          <w:p w14:paraId="5A149AF6">
            <w:pPr>
              <w:spacing w:line="360" w:lineRule="exact"/>
              <w:ind w:firstLine="0" w:firstLineChars="0"/>
              <w:rPr>
                <w:sz w:val="21"/>
                <w:szCs w:val="20"/>
              </w:rPr>
            </w:pPr>
          </w:p>
        </w:tc>
        <w:tc>
          <w:tcPr>
            <w:tcW w:w="418" w:type="pct"/>
            <w:vMerge w:val="continue"/>
            <w:vAlign w:val="center"/>
          </w:tcPr>
          <w:p w14:paraId="6389B62B">
            <w:pPr>
              <w:spacing w:line="360" w:lineRule="exact"/>
              <w:ind w:firstLine="0" w:firstLineChars="0"/>
              <w:rPr>
                <w:sz w:val="21"/>
                <w:szCs w:val="20"/>
              </w:rPr>
            </w:pPr>
          </w:p>
        </w:tc>
        <w:tc>
          <w:tcPr>
            <w:tcW w:w="1439" w:type="pct"/>
            <w:vMerge w:val="continue"/>
            <w:vAlign w:val="center"/>
          </w:tcPr>
          <w:p w14:paraId="351E718E">
            <w:pPr>
              <w:spacing w:line="360" w:lineRule="exact"/>
              <w:ind w:firstLine="0" w:firstLineChars="0"/>
              <w:rPr>
                <w:sz w:val="21"/>
                <w:szCs w:val="20"/>
              </w:rPr>
            </w:pPr>
          </w:p>
        </w:tc>
        <w:tc>
          <w:tcPr>
            <w:tcW w:w="1401" w:type="pct"/>
            <w:vMerge w:val="continue"/>
            <w:vAlign w:val="center"/>
          </w:tcPr>
          <w:p w14:paraId="6BF71792">
            <w:pPr>
              <w:spacing w:line="360" w:lineRule="exact"/>
              <w:ind w:firstLine="0" w:firstLineChars="0"/>
              <w:rPr>
                <w:sz w:val="21"/>
                <w:szCs w:val="20"/>
              </w:rPr>
            </w:pPr>
          </w:p>
        </w:tc>
      </w:tr>
    </w:tbl>
    <w:p w14:paraId="7A9D50E0">
      <w:pPr>
        <w:ind w:firstLine="480"/>
      </w:pPr>
      <w:r>
        <w:rPr>
          <w:rFonts w:hint="eastAsia"/>
        </w:rPr>
        <w:t>本工程的施工招标文件中应列出危大工程清单，要求施工单位在投标时补充完善危大工程清单并明确相应的安全管理措施。</w:t>
      </w:r>
    </w:p>
    <w:p w14:paraId="00349DC3">
      <w:pPr>
        <w:ind w:firstLine="480"/>
      </w:pPr>
      <w:r>
        <w:rPr>
          <w:rFonts w:hint="eastAsia"/>
        </w:rPr>
        <w:t>本项目中危险性较大的分部分项工程是依据本项目特点、周边环境、水文地质条件、设计文件和相关的规范规定所列，施工单位应根据施工图设计图纸，并参考设计单位的提示，结合施工单位常用的施工方式，并根据项目和本工程实际情况，进一步的识别本项目中危险性大的分部分项工程，对所有的危险性较大的分部分项工程在施工前组织工程技术人员编制专项施工方案。</w:t>
      </w:r>
    </w:p>
    <w:p w14:paraId="7D94EE92">
      <w:pPr>
        <w:ind w:firstLine="480"/>
      </w:pPr>
      <w:r>
        <w:rPr>
          <w:rFonts w:hint="eastAsia"/>
        </w:rPr>
        <w:t>对于超过一定规模危险性较大分部分项工程，详见中华人民共和国住房和城乡建设部办公厅《住房城乡建设部办公厅关于实施《危险性较大的分部分项安全管理规定》有关问题的通知》（建办质【2018】31号）附件2所列工程范围的全部内容。施工单位应当组织召开专家论证会对专项施工方案进行论证。</w:t>
      </w:r>
    </w:p>
    <w:p w14:paraId="559141BD">
      <w:pPr>
        <w:ind w:firstLine="480"/>
      </w:pPr>
      <w:r>
        <w:rPr>
          <w:rFonts w:hint="eastAsia"/>
        </w:rPr>
        <w:t>根据设计单位的提示，监理单位应全面熟悉设计图纸，根据施工组织设计，对本项目中危险性较大分部分项工程，汇编列出所涉及全部工程部位，节点清单，作为监理单位编制监理规划和实施细则、专家论证，安全措施备案、工程交底、质安监部门日常监督的重要依据。</w:t>
      </w:r>
    </w:p>
    <w:p w14:paraId="25B1A088">
      <w:pPr>
        <w:ind w:firstLine="480"/>
        <w:sectPr>
          <w:pgSz w:w="23811" w:h="16838" w:orient="landscape"/>
          <w:pgMar w:top="1418" w:right="1440" w:bottom="1134" w:left="1440" w:header="680" w:footer="737" w:gutter="0"/>
          <w:pgNumType w:fmt="decimal"/>
          <w:cols w:space="1201" w:num="2"/>
          <w:docGrid w:type="lines" w:linePitch="326" w:charSpace="0"/>
        </w:sectPr>
      </w:pPr>
    </w:p>
    <w:p w14:paraId="1A98923B">
      <w:pPr>
        <w:pStyle w:val="3"/>
        <w:spacing w:before="163" w:after="163"/>
      </w:pPr>
      <w:bookmarkStart w:id="133" w:name="_Toc116308034"/>
      <w:bookmarkStart w:id="134" w:name="_Toc2963"/>
      <w:r>
        <w:rPr>
          <w:rFonts w:hint="eastAsia"/>
        </w:rPr>
        <w:t>附件</w:t>
      </w:r>
      <w:bookmarkEnd w:id="133"/>
      <w:bookmarkEnd w:id="134"/>
    </w:p>
    <w:p w14:paraId="4125E55D">
      <w:pPr>
        <w:ind w:firstLine="480"/>
        <w:jc w:val="left"/>
        <w:rPr>
          <w:rFonts w:hint="eastAsia"/>
          <w:lang w:val="en-US" w:eastAsia="zh-CN"/>
        </w:rPr>
      </w:pPr>
      <w:r>
        <w:t xml:space="preserve">  </w:t>
      </w:r>
      <w:r>
        <w:rPr>
          <w:rFonts w:hint="eastAsia"/>
          <w:lang w:val="en-US" w:eastAsia="zh-CN"/>
        </w:rPr>
        <w:t>1</w:t>
      </w:r>
      <w:r>
        <w:rPr>
          <w:rFonts w:hint="eastAsia"/>
        </w:rPr>
        <w:t>、广州空港经济区拆迁安置区(花东安置区)教育配套设施建设项目初步设计技术评审专家组意见</w:t>
      </w:r>
      <w:r>
        <w:rPr>
          <w:rFonts w:hint="eastAsia"/>
          <w:lang w:val="en-US" w:eastAsia="zh-CN"/>
        </w:rPr>
        <w:t xml:space="preserve"> </w:t>
      </w:r>
    </w:p>
    <w:p w14:paraId="498AB081">
      <w:pPr>
        <w:ind w:firstLine="480"/>
        <w:jc w:val="center"/>
        <w:rPr>
          <w:rFonts w:hint="eastAsia"/>
          <w:b/>
          <w:bCs/>
          <w:lang w:val="en-US" w:eastAsia="zh-CN"/>
        </w:rPr>
      </w:pPr>
      <w:r>
        <w:drawing>
          <wp:inline distT="0" distB="0" distL="114300" distR="114300">
            <wp:extent cx="4917440" cy="7557135"/>
            <wp:effectExtent l="0" t="0" r="1651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2"/>
                    <a:stretch>
                      <a:fillRect/>
                    </a:stretch>
                  </pic:blipFill>
                  <pic:spPr>
                    <a:xfrm>
                      <a:off x="0" y="0"/>
                      <a:ext cx="4917440" cy="7557135"/>
                    </a:xfrm>
                    <a:prstGeom prst="rect">
                      <a:avLst/>
                    </a:prstGeom>
                    <a:noFill/>
                    <a:ln>
                      <a:noFill/>
                    </a:ln>
                  </pic:spPr>
                </pic:pic>
              </a:graphicData>
            </a:graphic>
          </wp:inline>
        </w:drawing>
      </w:r>
    </w:p>
    <w:p w14:paraId="53CB1CDF">
      <w:pPr>
        <w:widowControl/>
        <w:spacing w:line="240" w:lineRule="auto"/>
        <w:ind w:firstLine="0" w:firstLineChars="0"/>
        <w:jc w:val="left"/>
      </w:pPr>
      <w:r>
        <w:drawing>
          <wp:inline distT="0" distB="0" distL="114300" distR="114300">
            <wp:extent cx="6010275" cy="8572500"/>
            <wp:effectExtent l="0" t="0" r="952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43"/>
                    <a:stretch>
                      <a:fillRect/>
                    </a:stretch>
                  </pic:blipFill>
                  <pic:spPr>
                    <a:xfrm>
                      <a:off x="0" y="0"/>
                      <a:ext cx="6010275" cy="8572500"/>
                    </a:xfrm>
                    <a:prstGeom prst="rect">
                      <a:avLst/>
                    </a:prstGeom>
                    <a:noFill/>
                    <a:ln>
                      <a:noFill/>
                    </a:ln>
                  </pic:spPr>
                </pic:pic>
              </a:graphicData>
            </a:graphic>
          </wp:inline>
        </w:drawing>
      </w:r>
    </w:p>
    <w:p w14:paraId="3D32F084">
      <w:pPr>
        <w:widowControl/>
        <w:spacing w:line="240" w:lineRule="auto"/>
        <w:ind w:firstLine="0" w:firstLineChars="0"/>
        <w:jc w:val="left"/>
      </w:pPr>
    </w:p>
    <w:p w14:paraId="2C3F1AF3">
      <w:pPr>
        <w:widowControl/>
        <w:spacing w:line="240" w:lineRule="auto"/>
        <w:ind w:firstLine="0" w:firstLineChars="0"/>
        <w:jc w:val="left"/>
      </w:pPr>
    </w:p>
    <w:p w14:paraId="35857E3A">
      <w:pPr>
        <w:ind w:firstLine="480"/>
        <w:jc w:val="left"/>
        <w:rPr>
          <w:rFonts w:hint="eastAsia"/>
        </w:rPr>
      </w:pPr>
      <w:r>
        <w:rPr>
          <w:rFonts w:hint="eastAsia"/>
          <w:lang w:val="en-US" w:eastAsia="zh-CN"/>
        </w:rPr>
        <w:t>2</w:t>
      </w:r>
      <w:r>
        <w:rPr>
          <w:rFonts w:hint="eastAsia"/>
        </w:rPr>
        <w:t>、</w:t>
      </w:r>
      <w:r>
        <w:rPr>
          <w:rFonts w:hint="eastAsia"/>
          <w:lang w:val="en-US" w:eastAsia="zh-CN"/>
        </w:rPr>
        <w:t>广州市建设用地规划条件（穗规划资源业务函【2020)15341号）</w:t>
      </w:r>
    </w:p>
    <w:p w14:paraId="771EA027">
      <w:pPr>
        <w:ind w:firstLine="480"/>
        <w:jc w:val="left"/>
      </w:pPr>
      <w:r>
        <w:drawing>
          <wp:inline distT="0" distB="0" distL="114300" distR="114300">
            <wp:extent cx="5438775" cy="7762875"/>
            <wp:effectExtent l="0" t="0" r="9525" b="952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44"/>
                    <a:stretch>
                      <a:fillRect/>
                    </a:stretch>
                  </pic:blipFill>
                  <pic:spPr>
                    <a:xfrm>
                      <a:off x="0" y="0"/>
                      <a:ext cx="5438775" cy="7762875"/>
                    </a:xfrm>
                    <a:prstGeom prst="rect">
                      <a:avLst/>
                    </a:prstGeom>
                    <a:noFill/>
                    <a:ln>
                      <a:noFill/>
                    </a:ln>
                  </pic:spPr>
                </pic:pic>
              </a:graphicData>
            </a:graphic>
          </wp:inline>
        </w:drawing>
      </w:r>
    </w:p>
    <w:sectPr>
      <w:pgSz w:w="23811" w:h="16838" w:orient="landscape"/>
      <w:pgMar w:top="1418" w:right="1440" w:bottom="1134" w:left="1440" w:header="680" w:footer="737" w:gutter="0"/>
      <w:pgNumType w:fmt="decimal"/>
      <w:cols w:space="1201" w:num="2"/>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E1246">
    <w:pPr>
      <w:pStyle w:val="55"/>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1F2A31">
    <w:pPr>
      <w:pStyle w:val="5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B49D56">
    <w:pPr>
      <w:pStyle w:val="5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382213">
    <w:pPr>
      <w:pStyle w:val="55"/>
      <w:pBdr>
        <w:top w:val="thinThickSmallGap" w:color="auto" w:sz="18" w:space="1"/>
      </w:pBdr>
      <w:ind w:firstLine="360"/>
    </w:pPr>
    <w:r>
      <w:rPr>
        <w:sz w:val="18"/>
      </w:rPr>
      <w:pict>
        <v:shape id="_x0000_s409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6C94FC50">
                <w:pPr>
                  <w:pStyle w:val="55"/>
                </w:pPr>
                <w:r>
                  <w:fldChar w:fldCharType="begin"/>
                </w:r>
                <w:r>
                  <w:instrText xml:space="preserve"> PAGE  \* MERGEFORMAT </w:instrText>
                </w:r>
                <w:r>
                  <w:fldChar w:fldCharType="separate"/>
                </w:r>
                <w:r>
                  <w:t>1</w:t>
                </w:r>
                <w:r>
                  <w:fldChar w:fldCharType="end"/>
                </w: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24EBF">
    <w:pPr>
      <w:pStyle w:val="55"/>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1721B">
    <w:pPr>
      <w:pStyle w:val="55"/>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C56E3">
    <w:pPr>
      <w:pStyle w:val="55"/>
      <w:pBdr>
        <w:top w:val="thinThickSmallGap" w:color="auto" w:sz="18" w:space="1"/>
      </w:pBdr>
      <w:ind w:firstLine="360"/>
    </w:pPr>
    <w:r>
      <w:rPr>
        <w:sz w:val="18"/>
      </w:rPr>
      <w:pict>
        <v:shape id="_x0000_s4098" o:spid="_x0000_s4098"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14:paraId="32733E3F">
                <w:pPr>
                  <w:pStyle w:val="55"/>
                </w:pPr>
                <w:r>
                  <w:fldChar w:fldCharType="begin"/>
                </w:r>
                <w:r>
                  <w:instrText xml:space="preserve"> PAGE  \* MERGEFORMAT </w:instrText>
                </w:r>
                <w:r>
                  <w:fldChar w:fldCharType="separate"/>
                </w:r>
                <w:r>
                  <w:t>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13AAA0">
    <w:pPr>
      <w:pStyle w:val="57"/>
      <w:pBdr>
        <w:bottom w:val="none" w:color="auto" w:sz="0" w:space="0"/>
      </w:pBdr>
      <w:ind w:firstLine="0" w:firstLineChars="0"/>
      <w:jc w:val="left"/>
      <w:rPr>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16CA7">
    <w:pPr>
      <w:pStyle w:val="5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398230">
    <w:pPr>
      <w:pStyle w:val="5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B30E9">
    <w:pPr>
      <w:pStyle w:val="57"/>
      <w:pBdr>
        <w:bottom w:val="thinThickSmallGap" w:color="auto" w:sz="24" w:space="1"/>
      </w:pBdr>
      <w:ind w:firstLine="0" w:firstLineChars="0"/>
      <w:jc w:val="left"/>
      <w:rPr>
        <w:sz w:val="21"/>
        <w:szCs w:val="21"/>
      </w:rPr>
    </w:pPr>
    <w:r>
      <w:rPr>
        <w:rFonts w:hint="eastAsia" w:ascii="宋体" w:hAnsi="宋体"/>
        <w:bCs/>
        <w:sz w:val="21"/>
        <w:szCs w:val="21"/>
        <w:lang w:eastAsia="zh-CN"/>
      </w:rPr>
      <w:t>广州空港经济区拆迁安置区（花东安置区）教育配套设施建设项目</w:t>
    </w:r>
    <w:r>
      <w:rPr>
        <w:sz w:val="21"/>
        <w:szCs w:val="21"/>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C4472">
    <w:pPr>
      <w:pStyle w:val="57"/>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22303">
    <w:pPr>
      <w:pStyle w:val="5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5"/>
      <w:lvlText w:val="%1."/>
      <w:lvlJc w:val="left"/>
      <w:pPr>
        <w:tabs>
          <w:tab w:val="left" w:pos="2040"/>
        </w:tabs>
        <w:ind w:left="2040" w:leftChars="800" w:hanging="360" w:hangingChars="200"/>
      </w:pPr>
    </w:lvl>
  </w:abstractNum>
  <w:abstractNum w:abstractNumId="1">
    <w:nsid w:val="FFFFFF7D"/>
    <w:multiLevelType w:val="singleLevel"/>
    <w:tmpl w:val="FFFFFF7D"/>
    <w:lvl w:ilvl="0" w:tentative="0">
      <w:start w:val="1"/>
      <w:numFmt w:val="decimal"/>
      <w:pStyle w:val="47"/>
      <w:lvlText w:val="%1."/>
      <w:lvlJc w:val="left"/>
      <w:pPr>
        <w:tabs>
          <w:tab w:val="left" w:pos="1620"/>
        </w:tabs>
        <w:ind w:left="1620" w:leftChars="600" w:hanging="360" w:hangingChars="200"/>
      </w:pPr>
    </w:lvl>
  </w:abstractNum>
  <w:abstractNum w:abstractNumId="2">
    <w:nsid w:val="FFFFFF7E"/>
    <w:multiLevelType w:val="singleLevel"/>
    <w:tmpl w:val="FFFFFF7E"/>
    <w:lvl w:ilvl="0" w:tentative="0">
      <w:start w:val="1"/>
      <w:numFmt w:val="decimal"/>
      <w:pStyle w:val="36"/>
      <w:lvlText w:val="%1."/>
      <w:lvlJc w:val="left"/>
      <w:pPr>
        <w:tabs>
          <w:tab w:val="left" w:pos="1200"/>
        </w:tabs>
        <w:ind w:left="1200" w:leftChars="400" w:hanging="360" w:hangingChars="200"/>
      </w:pPr>
    </w:lvl>
  </w:abstractNum>
  <w:abstractNum w:abstractNumId="3">
    <w:nsid w:val="FFFFFF7F"/>
    <w:multiLevelType w:val="singleLevel"/>
    <w:tmpl w:val="FFFFFF7F"/>
    <w:lvl w:ilvl="0" w:tentative="0">
      <w:start w:val="1"/>
      <w:numFmt w:val="decimal"/>
      <w:pStyle w:val="15"/>
      <w:lvlText w:val="%1."/>
      <w:lvlJc w:val="left"/>
      <w:pPr>
        <w:tabs>
          <w:tab w:val="left" w:pos="780"/>
        </w:tabs>
        <w:ind w:left="780" w:leftChars="200" w:hanging="360" w:hangingChars="200"/>
      </w:pPr>
    </w:lvl>
  </w:abstractNum>
  <w:abstractNum w:abstractNumId="4">
    <w:nsid w:val="FFFFFF80"/>
    <w:multiLevelType w:val="singleLevel"/>
    <w:tmpl w:val="FFFFFF80"/>
    <w:lvl w:ilvl="0" w:tentative="0">
      <w:start w:val="1"/>
      <w:numFmt w:val="bullet"/>
      <w:pStyle w:val="46"/>
      <w:lvlText w:val=""/>
      <w:lvlJc w:val="left"/>
      <w:pPr>
        <w:tabs>
          <w:tab w:val="left" w:pos="2040"/>
        </w:tabs>
        <w:ind w:left="2040" w:leftChars="800" w:hanging="360" w:hangingChars="200"/>
      </w:pPr>
      <w:rPr>
        <w:rFonts w:hint="default" w:ascii="Wingdings" w:hAnsi="Wingdings"/>
      </w:rPr>
    </w:lvl>
  </w:abstractNum>
  <w:abstractNum w:abstractNumId="5">
    <w:nsid w:val="FFFFFF81"/>
    <w:multiLevelType w:val="singleLevel"/>
    <w:tmpl w:val="FFFFFF81"/>
    <w:lvl w:ilvl="0" w:tentative="0">
      <w:start w:val="1"/>
      <w:numFmt w:val="bullet"/>
      <w:pStyle w:val="18"/>
      <w:lvlText w:val=""/>
      <w:lvlJc w:val="left"/>
      <w:pPr>
        <w:tabs>
          <w:tab w:val="left" w:pos="1620"/>
        </w:tabs>
        <w:ind w:left="1620" w:leftChars="600" w:hanging="360" w:hangingChars="200"/>
      </w:pPr>
      <w:rPr>
        <w:rFonts w:hint="default" w:ascii="Wingdings" w:hAnsi="Wingdings"/>
      </w:rPr>
    </w:lvl>
  </w:abstractNum>
  <w:abstractNum w:abstractNumId="6">
    <w:nsid w:val="FFFFFF82"/>
    <w:multiLevelType w:val="singleLevel"/>
    <w:tmpl w:val="FFFFFF82"/>
    <w:lvl w:ilvl="0" w:tentative="0">
      <w:start w:val="1"/>
      <w:numFmt w:val="bullet"/>
      <w:pStyle w:val="33"/>
      <w:lvlText w:val=""/>
      <w:lvlJc w:val="left"/>
      <w:pPr>
        <w:tabs>
          <w:tab w:val="left" w:pos="1200"/>
        </w:tabs>
        <w:ind w:left="1200" w:leftChars="400" w:hanging="360" w:hangingChars="200"/>
      </w:pPr>
      <w:rPr>
        <w:rFonts w:hint="default" w:ascii="Wingdings" w:hAnsi="Wingdings"/>
      </w:rPr>
    </w:lvl>
  </w:abstractNum>
  <w:abstractNum w:abstractNumId="7">
    <w:nsid w:val="FFFFFF83"/>
    <w:multiLevelType w:val="singleLevel"/>
    <w:tmpl w:val="FFFFFF83"/>
    <w:lvl w:ilvl="0" w:tentative="0">
      <w:start w:val="1"/>
      <w:numFmt w:val="bullet"/>
      <w:pStyle w:val="40"/>
      <w:lvlText w:val=""/>
      <w:lvlJc w:val="left"/>
      <w:pPr>
        <w:tabs>
          <w:tab w:val="left" w:pos="780"/>
        </w:tabs>
        <w:ind w:left="780" w:leftChars="200" w:hanging="360" w:hangingChars="200"/>
      </w:pPr>
      <w:rPr>
        <w:rFonts w:hint="default" w:ascii="Wingdings" w:hAnsi="Wingdings"/>
      </w:rPr>
    </w:lvl>
  </w:abstractNum>
  <w:abstractNum w:abstractNumId="8">
    <w:nsid w:val="FFFFFF88"/>
    <w:multiLevelType w:val="singleLevel"/>
    <w:tmpl w:val="FFFFFF88"/>
    <w:lvl w:ilvl="0" w:tentative="0">
      <w:start w:val="1"/>
      <w:numFmt w:val="decimal"/>
      <w:pStyle w:val="21"/>
      <w:lvlText w:val="%1."/>
      <w:lvlJc w:val="left"/>
      <w:pPr>
        <w:tabs>
          <w:tab w:val="left" w:pos="360"/>
        </w:tabs>
        <w:ind w:left="360" w:hanging="360" w:hangingChars="200"/>
      </w:pPr>
    </w:lvl>
  </w:abstractNum>
  <w:abstractNum w:abstractNumId="9">
    <w:nsid w:val="FFFFFF89"/>
    <w:multiLevelType w:val="singleLevel"/>
    <w:tmpl w:val="FFFFFF89"/>
    <w:lvl w:ilvl="0" w:tentative="0">
      <w:start w:val="1"/>
      <w:numFmt w:val="bullet"/>
      <w:pStyle w:val="24"/>
      <w:lvlText w:val=""/>
      <w:lvlJc w:val="left"/>
      <w:pPr>
        <w:tabs>
          <w:tab w:val="left" w:pos="360"/>
        </w:tabs>
        <w:ind w:left="360" w:hanging="360" w:hangingChars="200"/>
      </w:pPr>
      <w:rPr>
        <w:rFonts w:hint="default" w:ascii="Wingdings" w:hAnsi="Wingdings"/>
      </w:rPr>
    </w:lvl>
  </w:abstractNum>
  <w:abstractNum w:abstractNumId="10">
    <w:nsid w:val="32BE505B"/>
    <w:multiLevelType w:val="multilevel"/>
    <w:tmpl w:val="32BE505B"/>
    <w:lvl w:ilvl="0" w:tentative="0">
      <w:start w:val="1"/>
      <w:numFmt w:val="decimal"/>
      <w:pStyle w:val="136"/>
      <w:suff w:val="nothing"/>
      <w:lvlText w:val="%1）"/>
      <w:lvlJc w:val="left"/>
      <w:pPr>
        <w:ind w:left="0" w:firstLine="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35507684"/>
    <w:multiLevelType w:val="multilevel"/>
    <w:tmpl w:val="35507684"/>
    <w:lvl w:ilvl="0" w:tentative="0">
      <w:start w:val="1"/>
      <w:numFmt w:val="decimal"/>
      <w:pStyle w:val="104"/>
      <w:suff w:val="nothing"/>
      <w:lvlText w:val="（%1）"/>
      <w:lvlJc w:val="left"/>
      <w:pPr>
        <w:ind w:left="0" w:firstLine="0"/>
      </w:pPr>
      <w:rPr>
        <w:rFonts w:hint="default" w:ascii="Times New Roman" w:hAnsi="Times New Roman" w:eastAsia="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4F410FA"/>
    <w:multiLevelType w:val="multilevel"/>
    <w:tmpl w:val="44F410FA"/>
    <w:lvl w:ilvl="0" w:tentative="0">
      <w:start w:val="1"/>
      <w:numFmt w:val="decimal"/>
      <w:pStyle w:val="144"/>
      <w:lvlText w:val="（%1）"/>
      <w:lvlJc w:val="left"/>
      <w:pPr>
        <w:ind w:left="1200" w:hanging="720"/>
      </w:pPr>
      <w:rPr>
        <w:rFonts w:hint="default" w:cs="Times New Roman"/>
      </w:rPr>
    </w:lvl>
    <w:lvl w:ilvl="1" w:tentative="0">
      <w:start w:val="1"/>
      <w:numFmt w:val="lowerLetter"/>
      <w:pStyle w:val="146"/>
      <w:lvlText w:val="%2)"/>
      <w:lvlJc w:val="left"/>
      <w:pPr>
        <w:ind w:left="1320" w:hanging="420"/>
      </w:pPr>
      <w:rPr>
        <w:rFonts w:cs="Times New Roman"/>
      </w:rPr>
    </w:lvl>
    <w:lvl w:ilvl="2" w:tentative="0">
      <w:start w:val="1"/>
      <w:numFmt w:val="lowerRoman"/>
      <w:pStyle w:val="145"/>
      <w:lvlText w:val="%3."/>
      <w:lvlJc w:val="right"/>
      <w:pPr>
        <w:ind w:left="1740" w:hanging="420"/>
      </w:pPr>
      <w:rPr>
        <w:rFonts w:cs="Times New Roman"/>
      </w:rPr>
    </w:lvl>
    <w:lvl w:ilvl="3" w:tentative="0">
      <w:start w:val="1"/>
      <w:numFmt w:val="decimal"/>
      <w:lvlText w:val="%4."/>
      <w:lvlJc w:val="left"/>
      <w:pPr>
        <w:ind w:left="2160" w:hanging="420"/>
      </w:pPr>
      <w:rPr>
        <w:rFonts w:cs="Times New Roman"/>
      </w:rPr>
    </w:lvl>
    <w:lvl w:ilvl="4" w:tentative="0">
      <w:start w:val="1"/>
      <w:numFmt w:val="lowerLetter"/>
      <w:pStyle w:val="7"/>
      <w:lvlText w:val="%5)"/>
      <w:lvlJc w:val="left"/>
      <w:pPr>
        <w:ind w:left="2580" w:hanging="420"/>
      </w:pPr>
      <w:rPr>
        <w:rFonts w:cs="Times New Roman"/>
      </w:rPr>
    </w:lvl>
    <w:lvl w:ilvl="5" w:tentative="0">
      <w:start w:val="1"/>
      <w:numFmt w:val="lowerRoman"/>
      <w:lvlText w:val="%6."/>
      <w:lvlJc w:val="right"/>
      <w:pPr>
        <w:ind w:left="3000" w:hanging="420"/>
      </w:pPr>
      <w:rPr>
        <w:rFonts w:cs="Times New Roman"/>
      </w:rPr>
    </w:lvl>
    <w:lvl w:ilvl="6" w:tentative="0">
      <w:start w:val="1"/>
      <w:numFmt w:val="decimal"/>
      <w:pStyle w:val="10"/>
      <w:lvlText w:val="%7."/>
      <w:lvlJc w:val="left"/>
      <w:pPr>
        <w:ind w:left="3420" w:hanging="420"/>
      </w:pPr>
      <w:rPr>
        <w:rFonts w:cs="Times New Roman"/>
      </w:rPr>
    </w:lvl>
    <w:lvl w:ilvl="7" w:tentative="0">
      <w:start w:val="1"/>
      <w:numFmt w:val="lowerLetter"/>
      <w:pStyle w:val="11"/>
      <w:lvlText w:val="%8)"/>
      <w:lvlJc w:val="left"/>
      <w:pPr>
        <w:ind w:left="3840" w:hanging="420"/>
      </w:pPr>
      <w:rPr>
        <w:rFonts w:cs="Times New Roman"/>
      </w:rPr>
    </w:lvl>
    <w:lvl w:ilvl="8" w:tentative="0">
      <w:start w:val="1"/>
      <w:numFmt w:val="lowerRoman"/>
      <w:pStyle w:val="12"/>
      <w:lvlText w:val="%9."/>
      <w:lvlJc w:val="right"/>
      <w:pPr>
        <w:ind w:left="4260" w:hanging="420"/>
      </w:pPr>
      <w:rPr>
        <w:rFonts w:cs="Times New Roman"/>
      </w:rPr>
    </w:lvl>
  </w:abstractNum>
  <w:abstractNum w:abstractNumId="13">
    <w:nsid w:val="630220D0"/>
    <w:multiLevelType w:val="multilevel"/>
    <w:tmpl w:val="630220D0"/>
    <w:lvl w:ilvl="0" w:tentative="0">
      <w:start w:val="1"/>
      <w:numFmt w:val="chineseCountingThousand"/>
      <w:pStyle w:val="3"/>
      <w:suff w:val="space"/>
      <w:lvlText w:val="第%1章"/>
      <w:lvlJc w:val="left"/>
      <w:pPr>
        <w:ind w:left="0" w:firstLine="0"/>
      </w:pPr>
      <w:rPr>
        <w:rFonts w:hint="eastAsia"/>
      </w:rPr>
    </w:lvl>
    <w:lvl w:ilvl="1" w:tentative="0">
      <w:start w:val="1"/>
      <w:numFmt w:val="decimal"/>
      <w:pStyle w:val="4"/>
      <w:isLgl/>
      <w:suff w:val="space"/>
      <w:lvlText w:val="%1.%2"/>
      <w:lvlJc w:val="left"/>
      <w:pPr>
        <w:ind w:left="0" w:firstLine="0"/>
      </w:pPr>
      <w:rPr>
        <w:rFonts w:hint="eastAsia"/>
      </w:rPr>
    </w:lvl>
    <w:lvl w:ilvl="2" w:tentative="0">
      <w:start w:val="1"/>
      <w:numFmt w:val="decimal"/>
      <w:pStyle w:val="5"/>
      <w:isLgl/>
      <w:suff w:val="space"/>
      <w:lvlText w:val="%1.%2.%3"/>
      <w:lvlJc w:val="left"/>
      <w:pPr>
        <w:ind w:left="284" w:firstLine="0"/>
      </w:pPr>
      <w:rPr>
        <w:rFonts w:hint="eastAsia"/>
      </w:rPr>
    </w:lvl>
    <w:lvl w:ilvl="3" w:tentative="0">
      <w:start w:val="1"/>
      <w:numFmt w:val="decimal"/>
      <w:pStyle w:val="6"/>
      <w:isLgl/>
      <w:suff w:val="space"/>
      <w:lvlText w:val="%1.%2.%3.%4"/>
      <w:lvlJc w:val="left"/>
      <w:pPr>
        <w:ind w:left="993" w:firstLine="0"/>
      </w:pPr>
      <w:rPr>
        <w:rFonts w:hint="eastAsia"/>
      </w:rPr>
    </w:lvl>
    <w:lvl w:ilvl="4" w:tentative="0">
      <w:start w:val="1"/>
      <w:numFmt w:val="decimal"/>
      <w:isLg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num w:numId="1">
    <w:abstractNumId w:val="13"/>
  </w:num>
  <w:num w:numId="2">
    <w:abstractNumId w:val="12"/>
  </w:num>
  <w:num w:numId="3">
    <w:abstractNumId w:val="3"/>
  </w:num>
  <w:num w:numId="4">
    <w:abstractNumId w:val="5"/>
  </w:num>
  <w:num w:numId="5">
    <w:abstractNumId w:val="8"/>
  </w:num>
  <w:num w:numId="6">
    <w:abstractNumId w:val="9"/>
  </w:num>
  <w:num w:numId="7">
    <w:abstractNumId w:val="6"/>
  </w:num>
  <w:num w:numId="8">
    <w:abstractNumId w:val="2"/>
  </w:num>
  <w:num w:numId="9">
    <w:abstractNumId w:val="7"/>
  </w:num>
  <w:num w:numId="10">
    <w:abstractNumId w:val="4"/>
  </w:num>
  <w:num w:numId="11">
    <w:abstractNumId w:val="1"/>
  </w:num>
  <w:num w:numId="12">
    <w:abstractNumId w:val="0"/>
  </w:num>
  <w:num w:numId="13">
    <w:abstractNumId w:val="11"/>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documentProtection w:enforcement="0"/>
  <w:defaultTabStop w:val="420"/>
  <w:characterSpacingControl w:val="doNotCompress"/>
  <w:hdrShapeDefaults>
    <o:shapelayout v:ext="edit">
      <o:idmap v:ext="edit" data="3,4"/>
    </o:shapelayout>
  </w:hdrShapeDefaults>
  <w:footnotePr>
    <w:footnote w:id="0"/>
    <w:footnote w:id="1"/>
  </w:footnotePr>
  <w:endnotePr>
    <w:endnote w:id="0"/>
    <w:endnote w:id="1"/>
  </w:endnotePr>
  <w:compat>
    <w:useFELayout/>
    <w:compatSetting w:name="compatibilityMode" w:uri="http://schemas.microsoft.com/office/word" w:val="12"/>
  </w:compat>
  <w:docVars>
    <w:docVar w:name="commondata" w:val="eyJoZGlkIjoiMWVhYTRhMTg0MmZjZjFhNTBhNmU3YzkzNzAwYzcyOWIifQ=="/>
  </w:docVars>
  <w:rsids>
    <w:rsidRoot w:val="00751B04"/>
    <w:rsid w:val="00001A35"/>
    <w:rsid w:val="00001D8D"/>
    <w:rsid w:val="00001DCB"/>
    <w:rsid w:val="00011B8F"/>
    <w:rsid w:val="00011E8C"/>
    <w:rsid w:val="00013E0D"/>
    <w:rsid w:val="00016470"/>
    <w:rsid w:val="00016A27"/>
    <w:rsid w:val="00025060"/>
    <w:rsid w:val="00026AE3"/>
    <w:rsid w:val="00030937"/>
    <w:rsid w:val="00030AF1"/>
    <w:rsid w:val="00030FE8"/>
    <w:rsid w:val="0003242B"/>
    <w:rsid w:val="000352B9"/>
    <w:rsid w:val="00040249"/>
    <w:rsid w:val="00044429"/>
    <w:rsid w:val="00050EB2"/>
    <w:rsid w:val="000574C3"/>
    <w:rsid w:val="000606DA"/>
    <w:rsid w:val="00061E0C"/>
    <w:rsid w:val="00062B6F"/>
    <w:rsid w:val="00063318"/>
    <w:rsid w:val="000637F3"/>
    <w:rsid w:val="00065413"/>
    <w:rsid w:val="000663EF"/>
    <w:rsid w:val="00071045"/>
    <w:rsid w:val="00071F29"/>
    <w:rsid w:val="00072C04"/>
    <w:rsid w:val="0008196A"/>
    <w:rsid w:val="00082F76"/>
    <w:rsid w:val="00083773"/>
    <w:rsid w:val="00090E10"/>
    <w:rsid w:val="00094425"/>
    <w:rsid w:val="0009467C"/>
    <w:rsid w:val="00097634"/>
    <w:rsid w:val="000A5256"/>
    <w:rsid w:val="000A6638"/>
    <w:rsid w:val="000A7BB0"/>
    <w:rsid w:val="000B02D2"/>
    <w:rsid w:val="000B2AEA"/>
    <w:rsid w:val="000B4A80"/>
    <w:rsid w:val="000B75D0"/>
    <w:rsid w:val="000C365D"/>
    <w:rsid w:val="000C55FF"/>
    <w:rsid w:val="000D1026"/>
    <w:rsid w:val="000D2EA4"/>
    <w:rsid w:val="000D3C34"/>
    <w:rsid w:val="000D45BD"/>
    <w:rsid w:val="000E0A89"/>
    <w:rsid w:val="000E2BD1"/>
    <w:rsid w:val="000E5621"/>
    <w:rsid w:val="000F0F02"/>
    <w:rsid w:val="000F133B"/>
    <w:rsid w:val="000F2720"/>
    <w:rsid w:val="000F3812"/>
    <w:rsid w:val="000F5477"/>
    <w:rsid w:val="0010027F"/>
    <w:rsid w:val="00100857"/>
    <w:rsid w:val="00103358"/>
    <w:rsid w:val="001058CD"/>
    <w:rsid w:val="0010791F"/>
    <w:rsid w:val="001172B1"/>
    <w:rsid w:val="00121FA7"/>
    <w:rsid w:val="00125423"/>
    <w:rsid w:val="00125430"/>
    <w:rsid w:val="0012786A"/>
    <w:rsid w:val="00132C0B"/>
    <w:rsid w:val="00132C49"/>
    <w:rsid w:val="00134F22"/>
    <w:rsid w:val="00135D9F"/>
    <w:rsid w:val="0013650F"/>
    <w:rsid w:val="00137E0A"/>
    <w:rsid w:val="00144C59"/>
    <w:rsid w:val="0014785F"/>
    <w:rsid w:val="001512A0"/>
    <w:rsid w:val="00152A61"/>
    <w:rsid w:val="00154B35"/>
    <w:rsid w:val="001575D0"/>
    <w:rsid w:val="00157848"/>
    <w:rsid w:val="001601A3"/>
    <w:rsid w:val="0016523C"/>
    <w:rsid w:val="0016534D"/>
    <w:rsid w:val="001671A2"/>
    <w:rsid w:val="001675CF"/>
    <w:rsid w:val="00171DCE"/>
    <w:rsid w:val="00183B3D"/>
    <w:rsid w:val="00187197"/>
    <w:rsid w:val="00187F55"/>
    <w:rsid w:val="00191805"/>
    <w:rsid w:val="001948D1"/>
    <w:rsid w:val="001966D8"/>
    <w:rsid w:val="001A1C7D"/>
    <w:rsid w:val="001A1D3E"/>
    <w:rsid w:val="001A6030"/>
    <w:rsid w:val="001B1299"/>
    <w:rsid w:val="001B1A28"/>
    <w:rsid w:val="001B53E4"/>
    <w:rsid w:val="001B6396"/>
    <w:rsid w:val="001B6519"/>
    <w:rsid w:val="001C1428"/>
    <w:rsid w:val="001C2CB4"/>
    <w:rsid w:val="001C4DDE"/>
    <w:rsid w:val="001C4DFE"/>
    <w:rsid w:val="001C5CB1"/>
    <w:rsid w:val="001D03BD"/>
    <w:rsid w:val="001D10BC"/>
    <w:rsid w:val="001D37FD"/>
    <w:rsid w:val="001D6C10"/>
    <w:rsid w:val="001E0B0B"/>
    <w:rsid w:val="001E5B03"/>
    <w:rsid w:val="002012C9"/>
    <w:rsid w:val="00201EB2"/>
    <w:rsid w:val="00210E82"/>
    <w:rsid w:val="002332B4"/>
    <w:rsid w:val="0023582A"/>
    <w:rsid w:val="00235BCE"/>
    <w:rsid w:val="00236FC4"/>
    <w:rsid w:val="00237DF8"/>
    <w:rsid w:val="0024074F"/>
    <w:rsid w:val="00242245"/>
    <w:rsid w:val="00243DAF"/>
    <w:rsid w:val="00243FA3"/>
    <w:rsid w:val="00257684"/>
    <w:rsid w:val="00260496"/>
    <w:rsid w:val="00260860"/>
    <w:rsid w:val="00262EDD"/>
    <w:rsid w:val="00263B16"/>
    <w:rsid w:val="00266BE6"/>
    <w:rsid w:val="00273D72"/>
    <w:rsid w:val="002748D8"/>
    <w:rsid w:val="00274E29"/>
    <w:rsid w:val="00282338"/>
    <w:rsid w:val="0028245E"/>
    <w:rsid w:val="00283F48"/>
    <w:rsid w:val="00284B45"/>
    <w:rsid w:val="00285536"/>
    <w:rsid w:val="00285A5C"/>
    <w:rsid w:val="0028676B"/>
    <w:rsid w:val="00290E10"/>
    <w:rsid w:val="00294900"/>
    <w:rsid w:val="0029533B"/>
    <w:rsid w:val="002B04B4"/>
    <w:rsid w:val="002B1357"/>
    <w:rsid w:val="002B37A4"/>
    <w:rsid w:val="002B3C1B"/>
    <w:rsid w:val="002C0E26"/>
    <w:rsid w:val="002C7F71"/>
    <w:rsid w:val="002D08BD"/>
    <w:rsid w:val="002D2A19"/>
    <w:rsid w:val="002D2CA4"/>
    <w:rsid w:val="002D2DD8"/>
    <w:rsid w:val="002D4548"/>
    <w:rsid w:val="002D4C40"/>
    <w:rsid w:val="002E035B"/>
    <w:rsid w:val="002E3FD2"/>
    <w:rsid w:val="002E62AD"/>
    <w:rsid w:val="002F1658"/>
    <w:rsid w:val="002F28E7"/>
    <w:rsid w:val="002F29D8"/>
    <w:rsid w:val="002F30F9"/>
    <w:rsid w:val="002F5341"/>
    <w:rsid w:val="003027BF"/>
    <w:rsid w:val="00303F47"/>
    <w:rsid w:val="00306289"/>
    <w:rsid w:val="00312DEC"/>
    <w:rsid w:val="003135E6"/>
    <w:rsid w:val="003137B7"/>
    <w:rsid w:val="00317ABB"/>
    <w:rsid w:val="003270C9"/>
    <w:rsid w:val="00331A72"/>
    <w:rsid w:val="00342F1F"/>
    <w:rsid w:val="003468CC"/>
    <w:rsid w:val="00352E1B"/>
    <w:rsid w:val="00353416"/>
    <w:rsid w:val="00360C63"/>
    <w:rsid w:val="00366688"/>
    <w:rsid w:val="003668C1"/>
    <w:rsid w:val="00367137"/>
    <w:rsid w:val="00370459"/>
    <w:rsid w:val="003800C9"/>
    <w:rsid w:val="00380775"/>
    <w:rsid w:val="00381498"/>
    <w:rsid w:val="00381524"/>
    <w:rsid w:val="00382E22"/>
    <w:rsid w:val="00385153"/>
    <w:rsid w:val="00385D64"/>
    <w:rsid w:val="00392762"/>
    <w:rsid w:val="0039556E"/>
    <w:rsid w:val="003A0F06"/>
    <w:rsid w:val="003A2070"/>
    <w:rsid w:val="003A21FB"/>
    <w:rsid w:val="003A3499"/>
    <w:rsid w:val="003A59E7"/>
    <w:rsid w:val="003A5AD2"/>
    <w:rsid w:val="003B2154"/>
    <w:rsid w:val="003B5221"/>
    <w:rsid w:val="003B63BA"/>
    <w:rsid w:val="003C0721"/>
    <w:rsid w:val="003C1762"/>
    <w:rsid w:val="003C295B"/>
    <w:rsid w:val="003C7C35"/>
    <w:rsid w:val="003D20CE"/>
    <w:rsid w:val="003D3643"/>
    <w:rsid w:val="003D6551"/>
    <w:rsid w:val="003D7243"/>
    <w:rsid w:val="003E01D2"/>
    <w:rsid w:val="003E2884"/>
    <w:rsid w:val="003F2294"/>
    <w:rsid w:val="003F4CE9"/>
    <w:rsid w:val="00402567"/>
    <w:rsid w:val="00402B1F"/>
    <w:rsid w:val="00406127"/>
    <w:rsid w:val="00411712"/>
    <w:rsid w:val="00412EEC"/>
    <w:rsid w:val="00414466"/>
    <w:rsid w:val="00417DE6"/>
    <w:rsid w:val="004225CB"/>
    <w:rsid w:val="00424A49"/>
    <w:rsid w:val="00426476"/>
    <w:rsid w:val="004264D6"/>
    <w:rsid w:val="00426FA1"/>
    <w:rsid w:val="0043074E"/>
    <w:rsid w:val="00446D34"/>
    <w:rsid w:val="00451953"/>
    <w:rsid w:val="00455993"/>
    <w:rsid w:val="00456E00"/>
    <w:rsid w:val="0046010A"/>
    <w:rsid w:val="004616E0"/>
    <w:rsid w:val="004628AA"/>
    <w:rsid w:val="00465CF0"/>
    <w:rsid w:val="00466A1B"/>
    <w:rsid w:val="00472137"/>
    <w:rsid w:val="00473829"/>
    <w:rsid w:val="0047791B"/>
    <w:rsid w:val="00481091"/>
    <w:rsid w:val="004931B7"/>
    <w:rsid w:val="00494062"/>
    <w:rsid w:val="004949F2"/>
    <w:rsid w:val="00494BF9"/>
    <w:rsid w:val="00495ABF"/>
    <w:rsid w:val="004B2535"/>
    <w:rsid w:val="004C029B"/>
    <w:rsid w:val="004C237D"/>
    <w:rsid w:val="004D581F"/>
    <w:rsid w:val="004D5B64"/>
    <w:rsid w:val="004D5D60"/>
    <w:rsid w:val="004E19F4"/>
    <w:rsid w:val="004E2F0B"/>
    <w:rsid w:val="004E36D9"/>
    <w:rsid w:val="004E5AF6"/>
    <w:rsid w:val="004F1887"/>
    <w:rsid w:val="00506E8E"/>
    <w:rsid w:val="00512194"/>
    <w:rsid w:val="00514CC7"/>
    <w:rsid w:val="00524070"/>
    <w:rsid w:val="00532B1A"/>
    <w:rsid w:val="0053361B"/>
    <w:rsid w:val="00533D8C"/>
    <w:rsid w:val="00540317"/>
    <w:rsid w:val="00546508"/>
    <w:rsid w:val="0054662D"/>
    <w:rsid w:val="00553B90"/>
    <w:rsid w:val="00553C94"/>
    <w:rsid w:val="00554499"/>
    <w:rsid w:val="00557C83"/>
    <w:rsid w:val="00560D0D"/>
    <w:rsid w:val="005632F6"/>
    <w:rsid w:val="00571548"/>
    <w:rsid w:val="005716EB"/>
    <w:rsid w:val="005723BD"/>
    <w:rsid w:val="00572DF4"/>
    <w:rsid w:val="00573AEF"/>
    <w:rsid w:val="00574B1B"/>
    <w:rsid w:val="00577576"/>
    <w:rsid w:val="00582E31"/>
    <w:rsid w:val="00583FDB"/>
    <w:rsid w:val="00587B15"/>
    <w:rsid w:val="00590215"/>
    <w:rsid w:val="00590D65"/>
    <w:rsid w:val="00591EE7"/>
    <w:rsid w:val="005942D2"/>
    <w:rsid w:val="00594F85"/>
    <w:rsid w:val="005979CE"/>
    <w:rsid w:val="005A146F"/>
    <w:rsid w:val="005A1F65"/>
    <w:rsid w:val="005A2E1A"/>
    <w:rsid w:val="005A6CFC"/>
    <w:rsid w:val="005C0D35"/>
    <w:rsid w:val="005C4E88"/>
    <w:rsid w:val="005D1C8A"/>
    <w:rsid w:val="005D21EC"/>
    <w:rsid w:val="005E10A9"/>
    <w:rsid w:val="005E5D95"/>
    <w:rsid w:val="005E7168"/>
    <w:rsid w:val="005F2085"/>
    <w:rsid w:val="005F2A84"/>
    <w:rsid w:val="005F337B"/>
    <w:rsid w:val="005F36D7"/>
    <w:rsid w:val="005F4799"/>
    <w:rsid w:val="00601264"/>
    <w:rsid w:val="00611C4F"/>
    <w:rsid w:val="00615A74"/>
    <w:rsid w:val="006263F9"/>
    <w:rsid w:val="0063093F"/>
    <w:rsid w:val="00631B27"/>
    <w:rsid w:val="00634EDD"/>
    <w:rsid w:val="0063592A"/>
    <w:rsid w:val="0064425D"/>
    <w:rsid w:val="00654198"/>
    <w:rsid w:val="00655052"/>
    <w:rsid w:val="006623E3"/>
    <w:rsid w:val="006627D7"/>
    <w:rsid w:val="00674B73"/>
    <w:rsid w:val="00674B9C"/>
    <w:rsid w:val="00677F16"/>
    <w:rsid w:val="006851CD"/>
    <w:rsid w:val="00685FEA"/>
    <w:rsid w:val="006951BB"/>
    <w:rsid w:val="0069566F"/>
    <w:rsid w:val="00695BBE"/>
    <w:rsid w:val="006973C4"/>
    <w:rsid w:val="006A15A9"/>
    <w:rsid w:val="006A2505"/>
    <w:rsid w:val="006A3A55"/>
    <w:rsid w:val="006A4CA0"/>
    <w:rsid w:val="006A51C2"/>
    <w:rsid w:val="006B0453"/>
    <w:rsid w:val="006B0908"/>
    <w:rsid w:val="006B5653"/>
    <w:rsid w:val="006B7F51"/>
    <w:rsid w:val="006D0D45"/>
    <w:rsid w:val="006E0B20"/>
    <w:rsid w:val="006E2D30"/>
    <w:rsid w:val="006E4429"/>
    <w:rsid w:val="006F6485"/>
    <w:rsid w:val="006F7FF5"/>
    <w:rsid w:val="0070050A"/>
    <w:rsid w:val="00701364"/>
    <w:rsid w:val="0071052B"/>
    <w:rsid w:val="0072189B"/>
    <w:rsid w:val="00726779"/>
    <w:rsid w:val="007269BC"/>
    <w:rsid w:val="0073548F"/>
    <w:rsid w:val="007365A7"/>
    <w:rsid w:val="00736C2C"/>
    <w:rsid w:val="00742EB6"/>
    <w:rsid w:val="00743148"/>
    <w:rsid w:val="007431E0"/>
    <w:rsid w:val="00745120"/>
    <w:rsid w:val="00745425"/>
    <w:rsid w:val="007456D3"/>
    <w:rsid w:val="00745753"/>
    <w:rsid w:val="007476F3"/>
    <w:rsid w:val="00751B04"/>
    <w:rsid w:val="00754B7E"/>
    <w:rsid w:val="007553DB"/>
    <w:rsid w:val="00755D5B"/>
    <w:rsid w:val="00756FC0"/>
    <w:rsid w:val="007573B1"/>
    <w:rsid w:val="00760119"/>
    <w:rsid w:val="00761DB2"/>
    <w:rsid w:val="00762ADB"/>
    <w:rsid w:val="00762D81"/>
    <w:rsid w:val="007636D4"/>
    <w:rsid w:val="00763BA2"/>
    <w:rsid w:val="00765C32"/>
    <w:rsid w:val="00770B2D"/>
    <w:rsid w:val="00772DB1"/>
    <w:rsid w:val="00774610"/>
    <w:rsid w:val="00776ED8"/>
    <w:rsid w:val="007817C1"/>
    <w:rsid w:val="00782573"/>
    <w:rsid w:val="00787A10"/>
    <w:rsid w:val="00791F80"/>
    <w:rsid w:val="00792F84"/>
    <w:rsid w:val="007935BB"/>
    <w:rsid w:val="00793A25"/>
    <w:rsid w:val="00796043"/>
    <w:rsid w:val="007A6ACB"/>
    <w:rsid w:val="007A7F3D"/>
    <w:rsid w:val="007C08F8"/>
    <w:rsid w:val="007D06D0"/>
    <w:rsid w:val="007D5116"/>
    <w:rsid w:val="007E06C4"/>
    <w:rsid w:val="007E299A"/>
    <w:rsid w:val="007E2A0E"/>
    <w:rsid w:val="007F09B9"/>
    <w:rsid w:val="007F0B4D"/>
    <w:rsid w:val="007F5F29"/>
    <w:rsid w:val="007F6A14"/>
    <w:rsid w:val="00806546"/>
    <w:rsid w:val="00813331"/>
    <w:rsid w:val="00817D94"/>
    <w:rsid w:val="00821AC6"/>
    <w:rsid w:val="00825E64"/>
    <w:rsid w:val="00827293"/>
    <w:rsid w:val="0083207D"/>
    <w:rsid w:val="00832CC9"/>
    <w:rsid w:val="008350CF"/>
    <w:rsid w:val="00835CB6"/>
    <w:rsid w:val="00842224"/>
    <w:rsid w:val="00850556"/>
    <w:rsid w:val="008537D1"/>
    <w:rsid w:val="0085496A"/>
    <w:rsid w:val="0086357D"/>
    <w:rsid w:val="00864C8F"/>
    <w:rsid w:val="00866D01"/>
    <w:rsid w:val="008739F2"/>
    <w:rsid w:val="00875441"/>
    <w:rsid w:val="0087630F"/>
    <w:rsid w:val="00876666"/>
    <w:rsid w:val="00877B78"/>
    <w:rsid w:val="00881592"/>
    <w:rsid w:val="00881603"/>
    <w:rsid w:val="00891D80"/>
    <w:rsid w:val="008960C9"/>
    <w:rsid w:val="008A16D0"/>
    <w:rsid w:val="008A530E"/>
    <w:rsid w:val="008A7788"/>
    <w:rsid w:val="008A7B59"/>
    <w:rsid w:val="008B66B9"/>
    <w:rsid w:val="008B6D9A"/>
    <w:rsid w:val="008B758C"/>
    <w:rsid w:val="008B7BE3"/>
    <w:rsid w:val="008C2194"/>
    <w:rsid w:val="008C30A7"/>
    <w:rsid w:val="008C5CFA"/>
    <w:rsid w:val="008C5D8B"/>
    <w:rsid w:val="008D5906"/>
    <w:rsid w:val="008D61EC"/>
    <w:rsid w:val="008D7D3E"/>
    <w:rsid w:val="008E10DE"/>
    <w:rsid w:val="008E4166"/>
    <w:rsid w:val="008F1A57"/>
    <w:rsid w:val="008F32E5"/>
    <w:rsid w:val="00900A6F"/>
    <w:rsid w:val="00905191"/>
    <w:rsid w:val="00911005"/>
    <w:rsid w:val="00913DC1"/>
    <w:rsid w:val="00913E2C"/>
    <w:rsid w:val="0091527A"/>
    <w:rsid w:val="0093067B"/>
    <w:rsid w:val="00937798"/>
    <w:rsid w:val="009403B5"/>
    <w:rsid w:val="0094161B"/>
    <w:rsid w:val="0095072A"/>
    <w:rsid w:val="00950D44"/>
    <w:rsid w:val="009515E9"/>
    <w:rsid w:val="00953640"/>
    <w:rsid w:val="00955FC3"/>
    <w:rsid w:val="00956811"/>
    <w:rsid w:val="0096122B"/>
    <w:rsid w:val="009614A0"/>
    <w:rsid w:val="009619E5"/>
    <w:rsid w:val="00962284"/>
    <w:rsid w:val="00965C3E"/>
    <w:rsid w:val="00966857"/>
    <w:rsid w:val="00973060"/>
    <w:rsid w:val="00973519"/>
    <w:rsid w:val="0097750A"/>
    <w:rsid w:val="0098113A"/>
    <w:rsid w:val="009820AB"/>
    <w:rsid w:val="00985D5B"/>
    <w:rsid w:val="009A41ED"/>
    <w:rsid w:val="009A47C2"/>
    <w:rsid w:val="009A60A9"/>
    <w:rsid w:val="009A6408"/>
    <w:rsid w:val="009B0A85"/>
    <w:rsid w:val="009B43C0"/>
    <w:rsid w:val="009B43EF"/>
    <w:rsid w:val="009B4814"/>
    <w:rsid w:val="009B5182"/>
    <w:rsid w:val="009B52EF"/>
    <w:rsid w:val="009B5A51"/>
    <w:rsid w:val="009C0CBA"/>
    <w:rsid w:val="009C3C1E"/>
    <w:rsid w:val="009D0165"/>
    <w:rsid w:val="009D62EA"/>
    <w:rsid w:val="009D6F63"/>
    <w:rsid w:val="009E375A"/>
    <w:rsid w:val="009E514E"/>
    <w:rsid w:val="009E5965"/>
    <w:rsid w:val="009F4DB8"/>
    <w:rsid w:val="00A009B5"/>
    <w:rsid w:val="00A00AA3"/>
    <w:rsid w:val="00A02280"/>
    <w:rsid w:val="00A0355A"/>
    <w:rsid w:val="00A05CE8"/>
    <w:rsid w:val="00A05D31"/>
    <w:rsid w:val="00A06001"/>
    <w:rsid w:val="00A07580"/>
    <w:rsid w:val="00A11D66"/>
    <w:rsid w:val="00A141B3"/>
    <w:rsid w:val="00A16836"/>
    <w:rsid w:val="00A16AC1"/>
    <w:rsid w:val="00A22B75"/>
    <w:rsid w:val="00A247A1"/>
    <w:rsid w:val="00A277D5"/>
    <w:rsid w:val="00A352DF"/>
    <w:rsid w:val="00A37EAC"/>
    <w:rsid w:val="00A40241"/>
    <w:rsid w:val="00A415C6"/>
    <w:rsid w:val="00A41A70"/>
    <w:rsid w:val="00A449ED"/>
    <w:rsid w:val="00A5706B"/>
    <w:rsid w:val="00A57D9A"/>
    <w:rsid w:val="00A60731"/>
    <w:rsid w:val="00A61CBA"/>
    <w:rsid w:val="00A65853"/>
    <w:rsid w:val="00A658A2"/>
    <w:rsid w:val="00A66638"/>
    <w:rsid w:val="00A73042"/>
    <w:rsid w:val="00A73500"/>
    <w:rsid w:val="00A818DB"/>
    <w:rsid w:val="00A8373F"/>
    <w:rsid w:val="00A85C54"/>
    <w:rsid w:val="00A91CEF"/>
    <w:rsid w:val="00A96B24"/>
    <w:rsid w:val="00A979E6"/>
    <w:rsid w:val="00AA3752"/>
    <w:rsid w:val="00AA3D98"/>
    <w:rsid w:val="00AA5F70"/>
    <w:rsid w:val="00AA7743"/>
    <w:rsid w:val="00AB164F"/>
    <w:rsid w:val="00AB3943"/>
    <w:rsid w:val="00AB6D9D"/>
    <w:rsid w:val="00AC0245"/>
    <w:rsid w:val="00AC08A1"/>
    <w:rsid w:val="00AC0DDE"/>
    <w:rsid w:val="00AC214B"/>
    <w:rsid w:val="00AC3E20"/>
    <w:rsid w:val="00AC690C"/>
    <w:rsid w:val="00AC7BCF"/>
    <w:rsid w:val="00AD2ABD"/>
    <w:rsid w:val="00AE1A7D"/>
    <w:rsid w:val="00AF74BF"/>
    <w:rsid w:val="00B00A2C"/>
    <w:rsid w:val="00B0214D"/>
    <w:rsid w:val="00B0540E"/>
    <w:rsid w:val="00B07946"/>
    <w:rsid w:val="00B121DF"/>
    <w:rsid w:val="00B12DEA"/>
    <w:rsid w:val="00B151B7"/>
    <w:rsid w:val="00B17778"/>
    <w:rsid w:val="00B23A3C"/>
    <w:rsid w:val="00B273A0"/>
    <w:rsid w:val="00B464FA"/>
    <w:rsid w:val="00B53C58"/>
    <w:rsid w:val="00B5767A"/>
    <w:rsid w:val="00B61D50"/>
    <w:rsid w:val="00B650A9"/>
    <w:rsid w:val="00B65843"/>
    <w:rsid w:val="00B75961"/>
    <w:rsid w:val="00B763D2"/>
    <w:rsid w:val="00B76F0B"/>
    <w:rsid w:val="00B97430"/>
    <w:rsid w:val="00BA2F4B"/>
    <w:rsid w:val="00BA3C24"/>
    <w:rsid w:val="00BB46B0"/>
    <w:rsid w:val="00BB480D"/>
    <w:rsid w:val="00BB72EB"/>
    <w:rsid w:val="00BC2C0C"/>
    <w:rsid w:val="00BC2F39"/>
    <w:rsid w:val="00BC2F85"/>
    <w:rsid w:val="00BC4F00"/>
    <w:rsid w:val="00BC68DC"/>
    <w:rsid w:val="00BC79EF"/>
    <w:rsid w:val="00BD59B8"/>
    <w:rsid w:val="00BE6EE9"/>
    <w:rsid w:val="00BF1796"/>
    <w:rsid w:val="00BF7CA1"/>
    <w:rsid w:val="00C02945"/>
    <w:rsid w:val="00C10641"/>
    <w:rsid w:val="00C110FD"/>
    <w:rsid w:val="00C20889"/>
    <w:rsid w:val="00C2275D"/>
    <w:rsid w:val="00C230A3"/>
    <w:rsid w:val="00C268E7"/>
    <w:rsid w:val="00C3484A"/>
    <w:rsid w:val="00C34BB0"/>
    <w:rsid w:val="00C4302A"/>
    <w:rsid w:val="00C516A7"/>
    <w:rsid w:val="00C53AC6"/>
    <w:rsid w:val="00C53DB2"/>
    <w:rsid w:val="00C60E55"/>
    <w:rsid w:val="00C6260A"/>
    <w:rsid w:val="00C633B6"/>
    <w:rsid w:val="00C66134"/>
    <w:rsid w:val="00C808A7"/>
    <w:rsid w:val="00C80A64"/>
    <w:rsid w:val="00C85E5F"/>
    <w:rsid w:val="00C869CD"/>
    <w:rsid w:val="00C86A69"/>
    <w:rsid w:val="00C92141"/>
    <w:rsid w:val="00C9320C"/>
    <w:rsid w:val="00C969B4"/>
    <w:rsid w:val="00CA1F44"/>
    <w:rsid w:val="00CA24E0"/>
    <w:rsid w:val="00CA4556"/>
    <w:rsid w:val="00CA7017"/>
    <w:rsid w:val="00CB2FB5"/>
    <w:rsid w:val="00CB4DC8"/>
    <w:rsid w:val="00CB7606"/>
    <w:rsid w:val="00CC202E"/>
    <w:rsid w:val="00CC3BF1"/>
    <w:rsid w:val="00CC430A"/>
    <w:rsid w:val="00CD2BAA"/>
    <w:rsid w:val="00CD5612"/>
    <w:rsid w:val="00CE04FE"/>
    <w:rsid w:val="00CE3DB6"/>
    <w:rsid w:val="00CE4406"/>
    <w:rsid w:val="00CE4D57"/>
    <w:rsid w:val="00CE61B7"/>
    <w:rsid w:val="00CE789C"/>
    <w:rsid w:val="00CF1B55"/>
    <w:rsid w:val="00D00CC8"/>
    <w:rsid w:val="00D01928"/>
    <w:rsid w:val="00D02038"/>
    <w:rsid w:val="00D041B6"/>
    <w:rsid w:val="00D1344A"/>
    <w:rsid w:val="00D160F2"/>
    <w:rsid w:val="00D317B2"/>
    <w:rsid w:val="00D33281"/>
    <w:rsid w:val="00D33381"/>
    <w:rsid w:val="00D35A4D"/>
    <w:rsid w:val="00D37229"/>
    <w:rsid w:val="00D3735B"/>
    <w:rsid w:val="00D42538"/>
    <w:rsid w:val="00D45ABD"/>
    <w:rsid w:val="00D47A41"/>
    <w:rsid w:val="00D47B71"/>
    <w:rsid w:val="00D532BD"/>
    <w:rsid w:val="00D556AB"/>
    <w:rsid w:val="00D57771"/>
    <w:rsid w:val="00D65673"/>
    <w:rsid w:val="00D723EF"/>
    <w:rsid w:val="00D74E87"/>
    <w:rsid w:val="00D77E5F"/>
    <w:rsid w:val="00D917F1"/>
    <w:rsid w:val="00D94AEE"/>
    <w:rsid w:val="00DA0213"/>
    <w:rsid w:val="00DA4BC2"/>
    <w:rsid w:val="00DA60B5"/>
    <w:rsid w:val="00DA7AA8"/>
    <w:rsid w:val="00DB126E"/>
    <w:rsid w:val="00DB4FF7"/>
    <w:rsid w:val="00DB543C"/>
    <w:rsid w:val="00DB6688"/>
    <w:rsid w:val="00DB6B6D"/>
    <w:rsid w:val="00DC1520"/>
    <w:rsid w:val="00DC2238"/>
    <w:rsid w:val="00DC5040"/>
    <w:rsid w:val="00DD0872"/>
    <w:rsid w:val="00DD17B9"/>
    <w:rsid w:val="00DE496F"/>
    <w:rsid w:val="00DE4C6A"/>
    <w:rsid w:val="00DE6596"/>
    <w:rsid w:val="00DE7D0B"/>
    <w:rsid w:val="00DE7DBE"/>
    <w:rsid w:val="00DF3248"/>
    <w:rsid w:val="00DF3AB3"/>
    <w:rsid w:val="00DF5378"/>
    <w:rsid w:val="00E0089E"/>
    <w:rsid w:val="00E013FC"/>
    <w:rsid w:val="00E022A8"/>
    <w:rsid w:val="00E04E4E"/>
    <w:rsid w:val="00E1153D"/>
    <w:rsid w:val="00E14740"/>
    <w:rsid w:val="00E210DD"/>
    <w:rsid w:val="00E3088D"/>
    <w:rsid w:val="00E30E20"/>
    <w:rsid w:val="00E32D81"/>
    <w:rsid w:val="00E347B9"/>
    <w:rsid w:val="00E371C9"/>
    <w:rsid w:val="00E40358"/>
    <w:rsid w:val="00E41DB4"/>
    <w:rsid w:val="00E4208F"/>
    <w:rsid w:val="00E42C55"/>
    <w:rsid w:val="00E43053"/>
    <w:rsid w:val="00E47A7F"/>
    <w:rsid w:val="00E54D24"/>
    <w:rsid w:val="00E55A61"/>
    <w:rsid w:val="00E57096"/>
    <w:rsid w:val="00E6277F"/>
    <w:rsid w:val="00E648A1"/>
    <w:rsid w:val="00E7240C"/>
    <w:rsid w:val="00E7647B"/>
    <w:rsid w:val="00E92A93"/>
    <w:rsid w:val="00E9482E"/>
    <w:rsid w:val="00E96649"/>
    <w:rsid w:val="00E9769E"/>
    <w:rsid w:val="00E97BF8"/>
    <w:rsid w:val="00EA4A74"/>
    <w:rsid w:val="00EA5505"/>
    <w:rsid w:val="00EA63AC"/>
    <w:rsid w:val="00EA6C53"/>
    <w:rsid w:val="00EB0D59"/>
    <w:rsid w:val="00EB16BC"/>
    <w:rsid w:val="00EB27BC"/>
    <w:rsid w:val="00EB5D17"/>
    <w:rsid w:val="00EB6285"/>
    <w:rsid w:val="00EC165D"/>
    <w:rsid w:val="00EC16CC"/>
    <w:rsid w:val="00ED16F6"/>
    <w:rsid w:val="00ED2262"/>
    <w:rsid w:val="00ED3193"/>
    <w:rsid w:val="00ED7E26"/>
    <w:rsid w:val="00EE081F"/>
    <w:rsid w:val="00EE083B"/>
    <w:rsid w:val="00EE5198"/>
    <w:rsid w:val="00EE79B2"/>
    <w:rsid w:val="00EF1B70"/>
    <w:rsid w:val="00EF1F40"/>
    <w:rsid w:val="00EF4A6A"/>
    <w:rsid w:val="00EF5E3F"/>
    <w:rsid w:val="00F10459"/>
    <w:rsid w:val="00F105BE"/>
    <w:rsid w:val="00F114D1"/>
    <w:rsid w:val="00F11D12"/>
    <w:rsid w:val="00F12A2F"/>
    <w:rsid w:val="00F13300"/>
    <w:rsid w:val="00F15323"/>
    <w:rsid w:val="00F21D36"/>
    <w:rsid w:val="00F22286"/>
    <w:rsid w:val="00F24F78"/>
    <w:rsid w:val="00F30079"/>
    <w:rsid w:val="00F30929"/>
    <w:rsid w:val="00F3371C"/>
    <w:rsid w:val="00F356E3"/>
    <w:rsid w:val="00F36514"/>
    <w:rsid w:val="00F43A01"/>
    <w:rsid w:val="00F501E1"/>
    <w:rsid w:val="00F528EF"/>
    <w:rsid w:val="00F63486"/>
    <w:rsid w:val="00F64284"/>
    <w:rsid w:val="00F71CA2"/>
    <w:rsid w:val="00F72802"/>
    <w:rsid w:val="00F72E1C"/>
    <w:rsid w:val="00F736BF"/>
    <w:rsid w:val="00F7394F"/>
    <w:rsid w:val="00F7607E"/>
    <w:rsid w:val="00F7730B"/>
    <w:rsid w:val="00F84A54"/>
    <w:rsid w:val="00F87473"/>
    <w:rsid w:val="00F96649"/>
    <w:rsid w:val="00F97FAE"/>
    <w:rsid w:val="00FA1A18"/>
    <w:rsid w:val="00FA302B"/>
    <w:rsid w:val="00FA3AAE"/>
    <w:rsid w:val="00FB280D"/>
    <w:rsid w:val="00FB5C50"/>
    <w:rsid w:val="00FB68AB"/>
    <w:rsid w:val="00FC2102"/>
    <w:rsid w:val="00FC76A0"/>
    <w:rsid w:val="00FD0DD7"/>
    <w:rsid w:val="00FD173A"/>
    <w:rsid w:val="00FD36A8"/>
    <w:rsid w:val="00FD5DD2"/>
    <w:rsid w:val="00FE083F"/>
    <w:rsid w:val="00FE586F"/>
    <w:rsid w:val="00FE6F0F"/>
    <w:rsid w:val="00FF1D62"/>
    <w:rsid w:val="00FF2EAD"/>
    <w:rsid w:val="017A03D6"/>
    <w:rsid w:val="02F93FC2"/>
    <w:rsid w:val="08A454C4"/>
    <w:rsid w:val="08DB2FD9"/>
    <w:rsid w:val="0AA67A15"/>
    <w:rsid w:val="0B0E7B5F"/>
    <w:rsid w:val="0B61144B"/>
    <w:rsid w:val="0DBA7C7D"/>
    <w:rsid w:val="0E5A57CC"/>
    <w:rsid w:val="0F3B6BA6"/>
    <w:rsid w:val="10AF7430"/>
    <w:rsid w:val="11F50E30"/>
    <w:rsid w:val="13C446FF"/>
    <w:rsid w:val="14915F2D"/>
    <w:rsid w:val="158F171D"/>
    <w:rsid w:val="16655375"/>
    <w:rsid w:val="175C042F"/>
    <w:rsid w:val="17EA417E"/>
    <w:rsid w:val="182D06D4"/>
    <w:rsid w:val="190F7AAF"/>
    <w:rsid w:val="19B37B02"/>
    <w:rsid w:val="1D9E02DC"/>
    <w:rsid w:val="1DBA663E"/>
    <w:rsid w:val="1DFD54B3"/>
    <w:rsid w:val="200B463D"/>
    <w:rsid w:val="21C21B02"/>
    <w:rsid w:val="25752322"/>
    <w:rsid w:val="26D83166"/>
    <w:rsid w:val="2A862824"/>
    <w:rsid w:val="2DCC1BCF"/>
    <w:rsid w:val="2E866685"/>
    <w:rsid w:val="32BD4EE1"/>
    <w:rsid w:val="33AF6948"/>
    <w:rsid w:val="351F7895"/>
    <w:rsid w:val="36085658"/>
    <w:rsid w:val="373C0A2D"/>
    <w:rsid w:val="37F012DD"/>
    <w:rsid w:val="392F6080"/>
    <w:rsid w:val="393E24A3"/>
    <w:rsid w:val="3B8321E8"/>
    <w:rsid w:val="3C3D5C18"/>
    <w:rsid w:val="3C5800E6"/>
    <w:rsid w:val="3CC558AD"/>
    <w:rsid w:val="3E5A0876"/>
    <w:rsid w:val="40245191"/>
    <w:rsid w:val="412B0FB3"/>
    <w:rsid w:val="44B94EB6"/>
    <w:rsid w:val="46CD3857"/>
    <w:rsid w:val="48DC277A"/>
    <w:rsid w:val="4943719D"/>
    <w:rsid w:val="4960080A"/>
    <w:rsid w:val="4B250B93"/>
    <w:rsid w:val="50DC644B"/>
    <w:rsid w:val="51DF13B1"/>
    <w:rsid w:val="55C71477"/>
    <w:rsid w:val="56A8574D"/>
    <w:rsid w:val="56CD697E"/>
    <w:rsid w:val="57B30629"/>
    <w:rsid w:val="59025771"/>
    <w:rsid w:val="59961D22"/>
    <w:rsid w:val="5A930C7F"/>
    <w:rsid w:val="5AF42587"/>
    <w:rsid w:val="5C04252E"/>
    <w:rsid w:val="5C4B01F4"/>
    <w:rsid w:val="5CCF1897"/>
    <w:rsid w:val="5FEE372E"/>
    <w:rsid w:val="608714F4"/>
    <w:rsid w:val="60B26C85"/>
    <w:rsid w:val="60DC40EA"/>
    <w:rsid w:val="6990104A"/>
    <w:rsid w:val="6A417C07"/>
    <w:rsid w:val="6B1724D1"/>
    <w:rsid w:val="6CAB5145"/>
    <w:rsid w:val="6E9563DF"/>
    <w:rsid w:val="6F887E21"/>
    <w:rsid w:val="6FC536B4"/>
    <w:rsid w:val="6FE3190F"/>
    <w:rsid w:val="724F0EC2"/>
    <w:rsid w:val="73E3541C"/>
    <w:rsid w:val="776F3827"/>
    <w:rsid w:val="78C31B1A"/>
    <w:rsid w:val="7B9D7CA3"/>
    <w:rsid w:val="7CFE2AE7"/>
    <w:rsid w:val="7EC9628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nhideWhenUsed="0" w:uiPriority="0" w:semiHidden="0" w:name="heading 5"/>
    <w:lsdException w:qFormat="1" w:uiPriority="9"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name="index 1"/>
    <w:lsdException w:qFormat="1" w:uiPriority="99" w:name="index 2"/>
    <w:lsdException w:qFormat="1" w:uiPriority="99" w:name="index 3"/>
    <w:lsdException w:qFormat="1" w:uiPriority="99" w:name="index 4"/>
    <w:lsdException w:qFormat="1" w:uiPriority="99" w:name="index 5"/>
    <w:lsdException w:qFormat="1" w:uiPriority="99" w:name="index 6"/>
    <w:lsdException w:qFormat="1" w:uiPriority="99" w:name="index 7"/>
    <w:lsdException w:qFormat="1" w:uiPriority="99" w:name="index 8"/>
    <w:lsdException w:qFormat="1"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qFormat="1" w:uiPriority="99" w:name="index heading"/>
    <w:lsdException w:qFormat="1" w:uiPriority="35" w:name="caption"/>
    <w:lsdException w:qFormat="1" w:uiPriority="99" w:name="table of figures"/>
    <w:lsdException w:qFormat="1" w:uiPriority="99" w:name="envelope address"/>
    <w:lsdException w:qFormat="1"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qFormat="1" w:uiPriority="99" w:name="endnote text"/>
    <w:lsdException w:qFormat="1" w:uiPriority="99" w:name="table of authorities"/>
    <w:lsdException w:qFormat="1" w:uiPriority="99" w:name="macro"/>
    <w:lsdException w:qFormat="1" w:uiPriority="99" w:name="toa heading"/>
    <w:lsdException w:qFormat="1" w:uiPriority="99" w:name="List"/>
    <w:lsdException w:qFormat="1" w:uiPriority="99" w:name="List Bullet"/>
    <w:lsdException w:qFormat="1" w:uiPriority="99" w:name="List Number"/>
    <w:lsdException w:qFormat="1" w:uiPriority="99" w:name="List 2"/>
    <w:lsdException w:qFormat="1" w:uiPriority="99" w:name="List 3"/>
    <w:lsdException w:qFormat="1" w:uiPriority="99" w:name="List 4"/>
    <w:lsdException w:qFormat="1" w:uiPriority="99" w:name="List 5"/>
    <w:lsdException w:qFormat="1" w:uiPriority="99" w:name="List Bullet 2"/>
    <w:lsdException w:qFormat="1" w:uiPriority="99" w:name="List Bullet 3"/>
    <w:lsdException w:qFormat="1" w:uiPriority="99" w:name="List Bullet 4"/>
    <w:lsdException w:qFormat="1" w:uiPriority="99" w:name="List Bullet 5"/>
    <w:lsdException w:qFormat="1" w:uiPriority="99" w:name="List Number 2"/>
    <w:lsdException w:qFormat="1" w:uiPriority="99" w:name="List Number 3"/>
    <w:lsdException w:qFormat="1" w:uiPriority="99" w:name="List Number 4"/>
    <w:lsdException w:qFormat="1" w:uiPriority="99" w:name="List Number 5"/>
    <w:lsdException w:qFormat="1" w:unhideWhenUsed="0" w:uiPriority="10" w:semiHidden="0" w:name="Title"/>
    <w:lsdException w:qFormat="1" w:uiPriority="99" w:name="Closing"/>
    <w:lsdException w:qFormat="1" w:uiPriority="99" w:name="Signature"/>
    <w:lsdException w:qFormat="1" w:uiPriority="1" w:name="Default Paragraph Font"/>
    <w:lsdException w:qFormat="1" w:uiPriority="0" w:semiHidden="0" w:name="Body Text"/>
    <w:lsdException w:qFormat="1" w:uiPriority="99" w:name="Body Text Indent"/>
    <w:lsdException w:qFormat="1" w:uiPriority="99" w:name="List Continue"/>
    <w:lsdException w:qFormat="1" w:uiPriority="99" w:name="List Continue 2"/>
    <w:lsdException w:qFormat="1" w:uiPriority="99" w:name="List Continue 3"/>
    <w:lsdException w:qFormat="1" w:uiPriority="99" w:name="List Continue 4"/>
    <w:lsdException w:qFormat="1" w:uiPriority="99" w:name="List Continue 5"/>
    <w:lsdException w:qFormat="1" w:uiPriority="99" w:name="Message Header"/>
    <w:lsdException w:qFormat="1" w:unhideWhenUsed="0" w:uiPriority="11" w:semiHidden="0" w:name="Subtitle"/>
    <w:lsdException w:qFormat="1" w:uiPriority="99" w:name="Salutation"/>
    <w:lsdException w:qFormat="1" w:uiPriority="99" w:name="Date"/>
    <w:lsdException w:qFormat="1" w:uiPriority="99" w:name="Body Text First Indent"/>
    <w:lsdException w:qFormat="1" w:uiPriority="99" w:name="Body Text First Indent 2"/>
    <w:lsdException w:qFormat="1" w:uiPriority="99" w:name="Note Heading"/>
    <w:lsdException w:qFormat="1" w:uiPriority="99" w:name="Body Text 2"/>
    <w:lsdException w:qFormat="1" w:uiPriority="99" w:name="Body Text 3"/>
    <w:lsdException w:qFormat="1" w:uiPriority="99" w:name="Body Text Indent 2"/>
    <w:lsdException w:qFormat="1" w:uiPriority="99" w:name="Body Text Indent 3"/>
    <w:lsdException w:qFormat="1" w:uiPriority="99" w:name="Block Text"/>
    <w:lsdException w:qFormat="1" w:uiPriority="99" w:semiHidden="0" w:name="Hyperlink"/>
    <w:lsdException w:uiPriority="99" w:name="FollowedHyperlink"/>
    <w:lsdException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qFormat="1" w:uiPriority="99" w:name="E-mail Signature"/>
    <w:lsdException w:qFormat="1" w:uiPriority="99" w:name="Normal (Web)"/>
    <w:lsdException w:uiPriority="99" w:name="HTML Acronym"/>
    <w:lsdException w:qFormat="1"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qFormat="1"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3">
    <w:name w:val="heading 1"/>
    <w:basedOn w:val="1"/>
    <w:next w:val="1"/>
    <w:link w:val="95"/>
    <w:qFormat/>
    <w:uiPriority w:val="9"/>
    <w:pPr>
      <w:keepNext/>
      <w:keepLines/>
      <w:numPr>
        <w:ilvl w:val="0"/>
        <w:numId w:val="1"/>
      </w:numPr>
      <w:spacing w:before="50" w:beforeLines="50" w:after="50" w:afterLines="50"/>
      <w:ind w:firstLineChars="0"/>
      <w:jc w:val="center"/>
      <w:outlineLvl w:val="0"/>
    </w:pPr>
    <w:rPr>
      <w:b/>
      <w:bCs/>
      <w:kern w:val="44"/>
      <w:sz w:val="32"/>
      <w:szCs w:val="44"/>
    </w:rPr>
  </w:style>
  <w:style w:type="paragraph" w:styleId="4">
    <w:name w:val="heading 2"/>
    <w:basedOn w:val="1"/>
    <w:next w:val="1"/>
    <w:link w:val="96"/>
    <w:unhideWhenUsed/>
    <w:qFormat/>
    <w:uiPriority w:val="9"/>
    <w:pPr>
      <w:keepNext/>
      <w:keepLines/>
      <w:numPr>
        <w:ilvl w:val="1"/>
        <w:numId w:val="1"/>
      </w:numPr>
      <w:spacing w:before="50" w:beforeLines="50" w:after="50" w:afterLines="50"/>
      <w:ind w:firstLineChars="0"/>
      <w:outlineLvl w:val="1"/>
    </w:pPr>
    <w:rPr>
      <w:rFonts w:cstheme="majorBidi"/>
      <w:b/>
      <w:bCs/>
      <w:color w:val="FF6600"/>
      <w:sz w:val="30"/>
      <w:szCs w:val="32"/>
    </w:rPr>
  </w:style>
  <w:style w:type="paragraph" w:styleId="5">
    <w:name w:val="heading 3"/>
    <w:basedOn w:val="1"/>
    <w:next w:val="1"/>
    <w:link w:val="97"/>
    <w:unhideWhenUsed/>
    <w:qFormat/>
    <w:uiPriority w:val="9"/>
    <w:pPr>
      <w:keepNext/>
      <w:keepLines/>
      <w:numPr>
        <w:ilvl w:val="2"/>
        <w:numId w:val="1"/>
      </w:numPr>
      <w:spacing w:before="50" w:beforeLines="50" w:after="50" w:afterLines="50"/>
      <w:ind w:firstLineChars="0"/>
      <w:outlineLvl w:val="2"/>
    </w:pPr>
    <w:rPr>
      <w:bCs/>
      <w:color w:val="0066FF"/>
      <w:sz w:val="28"/>
      <w:szCs w:val="32"/>
    </w:rPr>
  </w:style>
  <w:style w:type="paragraph" w:styleId="6">
    <w:name w:val="heading 4"/>
    <w:basedOn w:val="1"/>
    <w:next w:val="1"/>
    <w:link w:val="98"/>
    <w:unhideWhenUsed/>
    <w:qFormat/>
    <w:uiPriority w:val="9"/>
    <w:pPr>
      <w:keepNext/>
      <w:keepLines/>
      <w:numPr>
        <w:ilvl w:val="3"/>
        <w:numId w:val="1"/>
      </w:numPr>
      <w:spacing w:before="10" w:after="10" w:line="377" w:lineRule="auto"/>
      <w:ind w:left="0" w:firstLineChars="0"/>
      <w:outlineLvl w:val="3"/>
    </w:pPr>
    <w:rPr>
      <w:rFonts w:cstheme="majorBidi"/>
      <w:b/>
      <w:bCs/>
      <w:color w:val="00CC00"/>
      <w:szCs w:val="28"/>
    </w:rPr>
  </w:style>
  <w:style w:type="paragraph" w:styleId="7">
    <w:name w:val="heading 5"/>
    <w:basedOn w:val="1"/>
    <w:next w:val="8"/>
    <w:link w:val="140"/>
    <w:qFormat/>
    <w:uiPriority w:val="0"/>
    <w:pPr>
      <w:keepNext/>
      <w:keepLines/>
      <w:numPr>
        <w:ilvl w:val="4"/>
        <w:numId w:val="2"/>
      </w:numPr>
      <w:tabs>
        <w:tab w:val="left" w:pos="1008"/>
      </w:tabs>
      <w:autoSpaceDE w:val="0"/>
      <w:autoSpaceDN w:val="0"/>
      <w:adjustRightInd w:val="0"/>
      <w:spacing w:before="120" w:after="120"/>
      <w:ind w:firstLine="0" w:firstLineChars="0"/>
      <w:jc w:val="left"/>
      <w:outlineLvl w:val="4"/>
    </w:pPr>
    <w:rPr>
      <w:rFonts w:ascii="宋体" w:cs="Times New Roman"/>
      <w:b/>
      <w:spacing w:val="10"/>
      <w:kern w:val="0"/>
      <w:sz w:val="28"/>
      <w:szCs w:val="20"/>
    </w:rPr>
  </w:style>
  <w:style w:type="paragraph" w:styleId="9">
    <w:name w:val="heading 6"/>
    <w:basedOn w:val="1"/>
    <w:next w:val="1"/>
    <w:link w:val="106"/>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paragraph" w:styleId="10">
    <w:name w:val="heading 7"/>
    <w:basedOn w:val="1"/>
    <w:next w:val="8"/>
    <w:link w:val="141"/>
    <w:qFormat/>
    <w:uiPriority w:val="0"/>
    <w:pPr>
      <w:keepNext/>
      <w:keepLines/>
      <w:numPr>
        <w:ilvl w:val="6"/>
        <w:numId w:val="2"/>
      </w:numPr>
      <w:tabs>
        <w:tab w:val="left" w:pos="1296"/>
      </w:tabs>
      <w:autoSpaceDE w:val="0"/>
      <w:autoSpaceDN w:val="0"/>
      <w:adjustRightInd w:val="0"/>
      <w:spacing w:before="120" w:after="120"/>
      <w:ind w:firstLine="0" w:firstLineChars="0"/>
      <w:jc w:val="left"/>
      <w:outlineLvl w:val="6"/>
    </w:pPr>
    <w:rPr>
      <w:rFonts w:ascii="宋体" w:cs="Times New Roman"/>
      <w:b/>
      <w:spacing w:val="10"/>
      <w:kern w:val="0"/>
      <w:szCs w:val="20"/>
    </w:rPr>
  </w:style>
  <w:style w:type="paragraph" w:styleId="11">
    <w:name w:val="heading 8"/>
    <w:basedOn w:val="1"/>
    <w:next w:val="8"/>
    <w:link w:val="142"/>
    <w:qFormat/>
    <w:uiPriority w:val="0"/>
    <w:pPr>
      <w:keepNext/>
      <w:keepLines/>
      <w:numPr>
        <w:ilvl w:val="7"/>
        <w:numId w:val="2"/>
      </w:numPr>
      <w:tabs>
        <w:tab w:val="left" w:pos="1440"/>
      </w:tabs>
      <w:autoSpaceDE w:val="0"/>
      <w:autoSpaceDN w:val="0"/>
      <w:adjustRightInd w:val="0"/>
      <w:spacing w:before="240" w:after="64" w:line="320" w:lineRule="auto"/>
      <w:ind w:firstLine="0" w:firstLineChars="0"/>
      <w:jc w:val="left"/>
      <w:outlineLvl w:val="7"/>
    </w:pPr>
    <w:rPr>
      <w:rFonts w:ascii="Arial" w:hAnsi="Arial" w:eastAsia="黑体" w:cs="Times New Roman"/>
      <w:spacing w:val="10"/>
      <w:kern w:val="0"/>
      <w:szCs w:val="20"/>
    </w:rPr>
  </w:style>
  <w:style w:type="paragraph" w:styleId="12">
    <w:name w:val="heading 9"/>
    <w:basedOn w:val="1"/>
    <w:next w:val="8"/>
    <w:link w:val="143"/>
    <w:qFormat/>
    <w:uiPriority w:val="0"/>
    <w:pPr>
      <w:keepNext/>
      <w:keepLines/>
      <w:numPr>
        <w:ilvl w:val="8"/>
        <w:numId w:val="2"/>
      </w:numPr>
      <w:tabs>
        <w:tab w:val="left" w:pos="1584"/>
      </w:tabs>
      <w:autoSpaceDE w:val="0"/>
      <w:autoSpaceDN w:val="0"/>
      <w:adjustRightInd w:val="0"/>
      <w:spacing w:before="120" w:after="120" w:line="240" w:lineRule="auto"/>
      <w:ind w:firstLine="0" w:firstLineChars="0"/>
      <w:jc w:val="left"/>
      <w:outlineLvl w:val="8"/>
    </w:pPr>
    <w:rPr>
      <w:rFonts w:ascii="Arial" w:hAnsi="Arial" w:cs="Times New Roman"/>
      <w:b/>
      <w:spacing w:val="10"/>
      <w:kern w:val="0"/>
      <w:sz w:val="28"/>
      <w:szCs w:val="20"/>
    </w:rPr>
  </w:style>
  <w:style w:type="character" w:default="1" w:styleId="91">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156"/>
    <w:semiHidden/>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200" w:firstLineChars="200"/>
    </w:pPr>
    <w:rPr>
      <w:rFonts w:ascii="Courier New" w:hAnsi="Courier New" w:eastAsia="宋体" w:cs="Courier New"/>
      <w:kern w:val="2"/>
      <w:sz w:val="24"/>
      <w:szCs w:val="24"/>
      <w:lang w:val="en-US" w:eastAsia="zh-CN" w:bidi="ar-SA"/>
    </w:rPr>
  </w:style>
  <w:style w:type="paragraph" w:styleId="8">
    <w:name w:val="Normal Indent"/>
    <w:basedOn w:val="1"/>
    <w:semiHidden/>
    <w:unhideWhenUsed/>
    <w:qFormat/>
    <w:uiPriority w:val="99"/>
    <w:pPr>
      <w:ind w:firstLine="420"/>
    </w:pPr>
  </w:style>
  <w:style w:type="paragraph" w:styleId="13">
    <w:name w:val="List 3"/>
    <w:basedOn w:val="1"/>
    <w:semiHidden/>
    <w:unhideWhenUsed/>
    <w:qFormat/>
    <w:uiPriority w:val="99"/>
    <w:pPr>
      <w:ind w:left="100" w:leftChars="400" w:hanging="200" w:hangingChars="200"/>
      <w:contextualSpacing/>
    </w:pPr>
  </w:style>
  <w:style w:type="paragraph" w:styleId="14">
    <w:name w:val="toc 7"/>
    <w:basedOn w:val="1"/>
    <w:next w:val="1"/>
    <w:autoRedefine/>
    <w:unhideWhenUsed/>
    <w:qFormat/>
    <w:uiPriority w:val="39"/>
    <w:pPr>
      <w:ind w:left="2520" w:leftChars="1200"/>
    </w:pPr>
  </w:style>
  <w:style w:type="paragraph" w:styleId="15">
    <w:name w:val="List Number 2"/>
    <w:basedOn w:val="1"/>
    <w:semiHidden/>
    <w:unhideWhenUsed/>
    <w:qFormat/>
    <w:uiPriority w:val="99"/>
    <w:pPr>
      <w:numPr>
        <w:ilvl w:val="0"/>
        <w:numId w:val="3"/>
      </w:numPr>
      <w:contextualSpacing/>
    </w:pPr>
  </w:style>
  <w:style w:type="paragraph" w:styleId="16">
    <w:name w:val="table of authorities"/>
    <w:basedOn w:val="1"/>
    <w:next w:val="1"/>
    <w:semiHidden/>
    <w:unhideWhenUsed/>
    <w:qFormat/>
    <w:uiPriority w:val="99"/>
    <w:pPr>
      <w:ind w:left="420" w:leftChars="200" w:firstLine="0"/>
    </w:pPr>
  </w:style>
  <w:style w:type="paragraph" w:styleId="17">
    <w:name w:val="Note Heading"/>
    <w:basedOn w:val="1"/>
    <w:next w:val="1"/>
    <w:link w:val="177"/>
    <w:semiHidden/>
    <w:unhideWhenUsed/>
    <w:qFormat/>
    <w:uiPriority w:val="99"/>
    <w:pPr>
      <w:jc w:val="center"/>
    </w:pPr>
  </w:style>
  <w:style w:type="paragraph" w:styleId="18">
    <w:name w:val="List Bullet 4"/>
    <w:basedOn w:val="1"/>
    <w:semiHidden/>
    <w:unhideWhenUsed/>
    <w:qFormat/>
    <w:uiPriority w:val="99"/>
    <w:pPr>
      <w:numPr>
        <w:ilvl w:val="0"/>
        <w:numId w:val="4"/>
      </w:numPr>
      <w:contextualSpacing/>
    </w:pPr>
  </w:style>
  <w:style w:type="paragraph" w:styleId="19">
    <w:name w:val="index 8"/>
    <w:basedOn w:val="1"/>
    <w:next w:val="1"/>
    <w:autoRedefine/>
    <w:semiHidden/>
    <w:unhideWhenUsed/>
    <w:qFormat/>
    <w:uiPriority w:val="99"/>
    <w:pPr>
      <w:ind w:left="1400" w:leftChars="1400" w:firstLine="0"/>
    </w:pPr>
  </w:style>
  <w:style w:type="paragraph" w:styleId="20">
    <w:name w:val="E-mail Signature"/>
    <w:basedOn w:val="1"/>
    <w:link w:val="155"/>
    <w:semiHidden/>
    <w:unhideWhenUsed/>
    <w:qFormat/>
    <w:uiPriority w:val="99"/>
  </w:style>
  <w:style w:type="paragraph" w:styleId="21">
    <w:name w:val="List Number"/>
    <w:basedOn w:val="1"/>
    <w:semiHidden/>
    <w:unhideWhenUsed/>
    <w:qFormat/>
    <w:uiPriority w:val="99"/>
    <w:pPr>
      <w:numPr>
        <w:ilvl w:val="0"/>
        <w:numId w:val="5"/>
      </w:numPr>
      <w:contextualSpacing/>
    </w:pPr>
  </w:style>
  <w:style w:type="paragraph" w:styleId="22">
    <w:name w:val="caption"/>
    <w:basedOn w:val="1"/>
    <w:next w:val="1"/>
    <w:semiHidden/>
    <w:unhideWhenUsed/>
    <w:qFormat/>
    <w:uiPriority w:val="35"/>
    <w:rPr>
      <w:rFonts w:eastAsia="黑体" w:asciiTheme="majorHAnsi" w:hAnsiTheme="majorHAnsi" w:cstheme="majorBidi"/>
      <w:sz w:val="20"/>
      <w:szCs w:val="20"/>
    </w:rPr>
  </w:style>
  <w:style w:type="paragraph" w:styleId="23">
    <w:name w:val="index 5"/>
    <w:basedOn w:val="1"/>
    <w:next w:val="1"/>
    <w:autoRedefine/>
    <w:semiHidden/>
    <w:unhideWhenUsed/>
    <w:qFormat/>
    <w:uiPriority w:val="99"/>
    <w:pPr>
      <w:ind w:left="800" w:leftChars="800" w:firstLine="0"/>
    </w:pPr>
  </w:style>
  <w:style w:type="paragraph" w:styleId="24">
    <w:name w:val="List Bullet"/>
    <w:basedOn w:val="1"/>
    <w:semiHidden/>
    <w:unhideWhenUsed/>
    <w:qFormat/>
    <w:uiPriority w:val="99"/>
    <w:pPr>
      <w:numPr>
        <w:ilvl w:val="0"/>
        <w:numId w:val="6"/>
      </w:numPr>
      <w:contextualSpacing/>
    </w:pPr>
  </w:style>
  <w:style w:type="paragraph" w:styleId="25">
    <w:name w:val="envelope address"/>
    <w:basedOn w:val="1"/>
    <w:semiHidden/>
    <w:unhideWhenUsed/>
    <w:qFormat/>
    <w:uiPriority w:val="99"/>
    <w:pPr>
      <w:framePr w:w="7920" w:h="1980" w:hRule="exact" w:hSpace="180" w:wrap="auto" w:vAnchor="margin" w:hAnchor="page" w:xAlign="center" w:yAlign="bottom"/>
      <w:snapToGrid w:val="0"/>
      <w:ind w:left="100" w:leftChars="1400"/>
    </w:pPr>
    <w:rPr>
      <w:rFonts w:asciiTheme="majorHAnsi" w:hAnsiTheme="majorHAnsi" w:eastAsiaTheme="majorEastAsia" w:cstheme="majorBidi"/>
      <w:szCs w:val="24"/>
    </w:rPr>
  </w:style>
  <w:style w:type="paragraph" w:styleId="26">
    <w:name w:val="Document Map"/>
    <w:basedOn w:val="1"/>
    <w:link w:val="165"/>
    <w:semiHidden/>
    <w:unhideWhenUsed/>
    <w:qFormat/>
    <w:uiPriority w:val="99"/>
    <w:rPr>
      <w:rFonts w:ascii="Microsoft YaHei UI" w:eastAsia="Microsoft YaHei UI"/>
      <w:sz w:val="18"/>
      <w:szCs w:val="18"/>
    </w:rPr>
  </w:style>
  <w:style w:type="paragraph" w:styleId="27">
    <w:name w:val="toa heading"/>
    <w:basedOn w:val="1"/>
    <w:next w:val="1"/>
    <w:semiHidden/>
    <w:unhideWhenUsed/>
    <w:qFormat/>
    <w:uiPriority w:val="99"/>
    <w:pPr>
      <w:spacing w:before="120"/>
    </w:pPr>
    <w:rPr>
      <w:rFonts w:asciiTheme="majorHAnsi" w:hAnsiTheme="majorHAnsi" w:eastAsiaTheme="majorEastAsia" w:cstheme="majorBidi"/>
      <w:szCs w:val="24"/>
    </w:rPr>
  </w:style>
  <w:style w:type="paragraph" w:styleId="28">
    <w:name w:val="annotation text"/>
    <w:basedOn w:val="1"/>
    <w:link w:val="117"/>
    <w:semiHidden/>
    <w:unhideWhenUsed/>
    <w:qFormat/>
    <w:uiPriority w:val="99"/>
    <w:pPr>
      <w:jc w:val="left"/>
    </w:pPr>
  </w:style>
  <w:style w:type="paragraph" w:styleId="29">
    <w:name w:val="index 6"/>
    <w:basedOn w:val="1"/>
    <w:next w:val="1"/>
    <w:autoRedefine/>
    <w:semiHidden/>
    <w:unhideWhenUsed/>
    <w:qFormat/>
    <w:uiPriority w:val="99"/>
    <w:pPr>
      <w:ind w:left="1000" w:leftChars="1000" w:firstLine="0"/>
    </w:pPr>
  </w:style>
  <w:style w:type="paragraph" w:styleId="30">
    <w:name w:val="Salutation"/>
    <w:basedOn w:val="1"/>
    <w:next w:val="1"/>
    <w:link w:val="154"/>
    <w:semiHidden/>
    <w:unhideWhenUsed/>
    <w:qFormat/>
    <w:uiPriority w:val="99"/>
  </w:style>
  <w:style w:type="paragraph" w:styleId="31">
    <w:name w:val="Body Text 3"/>
    <w:basedOn w:val="1"/>
    <w:link w:val="171"/>
    <w:semiHidden/>
    <w:unhideWhenUsed/>
    <w:qFormat/>
    <w:uiPriority w:val="99"/>
    <w:pPr>
      <w:spacing w:after="120"/>
    </w:pPr>
    <w:rPr>
      <w:sz w:val="16"/>
      <w:szCs w:val="16"/>
    </w:rPr>
  </w:style>
  <w:style w:type="paragraph" w:styleId="32">
    <w:name w:val="Closing"/>
    <w:basedOn w:val="1"/>
    <w:link w:val="158"/>
    <w:semiHidden/>
    <w:unhideWhenUsed/>
    <w:qFormat/>
    <w:uiPriority w:val="99"/>
    <w:pPr>
      <w:ind w:left="100" w:leftChars="2100"/>
    </w:pPr>
  </w:style>
  <w:style w:type="paragraph" w:styleId="33">
    <w:name w:val="List Bullet 3"/>
    <w:basedOn w:val="1"/>
    <w:semiHidden/>
    <w:unhideWhenUsed/>
    <w:qFormat/>
    <w:uiPriority w:val="99"/>
    <w:pPr>
      <w:numPr>
        <w:ilvl w:val="0"/>
        <w:numId w:val="7"/>
      </w:numPr>
      <w:contextualSpacing/>
    </w:pPr>
  </w:style>
  <w:style w:type="paragraph" w:styleId="34">
    <w:name w:val="Body Text"/>
    <w:basedOn w:val="1"/>
    <w:link w:val="120"/>
    <w:unhideWhenUsed/>
    <w:qFormat/>
    <w:uiPriority w:val="0"/>
    <w:pPr>
      <w:suppressAutoHyphens/>
      <w:adjustRightInd w:val="0"/>
      <w:spacing w:line="312" w:lineRule="auto"/>
      <w:ind w:firstLine="0" w:firstLineChars="0"/>
      <w:jc w:val="left"/>
    </w:pPr>
    <w:rPr>
      <w:rFonts w:cs="Times New Roman"/>
      <w:spacing w:val="-4"/>
      <w:kern w:val="0"/>
      <w:szCs w:val="20"/>
    </w:rPr>
  </w:style>
  <w:style w:type="paragraph" w:styleId="35">
    <w:name w:val="Body Text Indent"/>
    <w:basedOn w:val="1"/>
    <w:link w:val="173"/>
    <w:semiHidden/>
    <w:unhideWhenUsed/>
    <w:qFormat/>
    <w:uiPriority w:val="99"/>
    <w:pPr>
      <w:spacing w:after="120"/>
      <w:ind w:left="420" w:leftChars="200"/>
    </w:pPr>
  </w:style>
  <w:style w:type="paragraph" w:styleId="36">
    <w:name w:val="List Number 3"/>
    <w:basedOn w:val="1"/>
    <w:semiHidden/>
    <w:unhideWhenUsed/>
    <w:qFormat/>
    <w:uiPriority w:val="99"/>
    <w:pPr>
      <w:numPr>
        <w:ilvl w:val="0"/>
        <w:numId w:val="8"/>
      </w:numPr>
      <w:contextualSpacing/>
    </w:pPr>
  </w:style>
  <w:style w:type="paragraph" w:styleId="37">
    <w:name w:val="List 2"/>
    <w:basedOn w:val="1"/>
    <w:semiHidden/>
    <w:unhideWhenUsed/>
    <w:qFormat/>
    <w:uiPriority w:val="99"/>
    <w:pPr>
      <w:ind w:left="100" w:leftChars="200" w:hanging="200" w:hangingChars="200"/>
      <w:contextualSpacing/>
    </w:pPr>
  </w:style>
  <w:style w:type="paragraph" w:styleId="38">
    <w:name w:val="List Continue"/>
    <w:basedOn w:val="1"/>
    <w:semiHidden/>
    <w:unhideWhenUsed/>
    <w:qFormat/>
    <w:uiPriority w:val="99"/>
    <w:pPr>
      <w:spacing w:after="120"/>
      <w:ind w:left="420" w:leftChars="200"/>
      <w:contextualSpacing/>
    </w:pPr>
  </w:style>
  <w:style w:type="paragraph" w:styleId="39">
    <w:name w:val="Block Text"/>
    <w:basedOn w:val="1"/>
    <w:semiHidden/>
    <w:unhideWhenUsed/>
    <w:qFormat/>
    <w:uiPriority w:val="99"/>
    <w:pPr>
      <w:spacing w:after="120"/>
      <w:ind w:left="1440" w:leftChars="700" w:right="1440" w:rightChars="700"/>
    </w:pPr>
  </w:style>
  <w:style w:type="paragraph" w:styleId="40">
    <w:name w:val="List Bullet 2"/>
    <w:basedOn w:val="1"/>
    <w:semiHidden/>
    <w:unhideWhenUsed/>
    <w:qFormat/>
    <w:uiPriority w:val="99"/>
    <w:pPr>
      <w:numPr>
        <w:ilvl w:val="0"/>
        <w:numId w:val="9"/>
      </w:numPr>
      <w:contextualSpacing/>
    </w:pPr>
  </w:style>
  <w:style w:type="paragraph" w:styleId="41">
    <w:name w:val="HTML Address"/>
    <w:basedOn w:val="1"/>
    <w:link w:val="151"/>
    <w:semiHidden/>
    <w:unhideWhenUsed/>
    <w:qFormat/>
    <w:uiPriority w:val="99"/>
    <w:rPr>
      <w:i/>
      <w:iCs/>
    </w:rPr>
  </w:style>
  <w:style w:type="paragraph" w:styleId="42">
    <w:name w:val="index 4"/>
    <w:basedOn w:val="1"/>
    <w:next w:val="1"/>
    <w:autoRedefine/>
    <w:semiHidden/>
    <w:unhideWhenUsed/>
    <w:qFormat/>
    <w:uiPriority w:val="99"/>
    <w:pPr>
      <w:ind w:left="600" w:leftChars="600" w:firstLine="0"/>
    </w:pPr>
  </w:style>
  <w:style w:type="paragraph" w:styleId="43">
    <w:name w:val="toc 5"/>
    <w:basedOn w:val="1"/>
    <w:next w:val="1"/>
    <w:autoRedefine/>
    <w:unhideWhenUsed/>
    <w:qFormat/>
    <w:uiPriority w:val="39"/>
    <w:pPr>
      <w:ind w:left="1680" w:leftChars="800"/>
    </w:pPr>
  </w:style>
  <w:style w:type="paragraph" w:styleId="44">
    <w:name w:val="toc 3"/>
    <w:basedOn w:val="1"/>
    <w:next w:val="1"/>
    <w:autoRedefine/>
    <w:unhideWhenUsed/>
    <w:qFormat/>
    <w:uiPriority w:val="39"/>
    <w:pPr>
      <w:ind w:left="840" w:leftChars="400"/>
    </w:pPr>
  </w:style>
  <w:style w:type="paragraph" w:styleId="45">
    <w:name w:val="Plain Text"/>
    <w:basedOn w:val="1"/>
    <w:link w:val="127"/>
    <w:qFormat/>
    <w:uiPriority w:val="0"/>
    <w:pPr>
      <w:spacing w:line="240" w:lineRule="auto"/>
      <w:ind w:firstLine="0" w:firstLineChars="0"/>
    </w:pPr>
    <w:rPr>
      <w:rFonts w:hint="eastAsia" w:ascii="宋体" w:hAnsi="Courier New" w:cs="Courier New"/>
      <w:sz w:val="21"/>
      <w:szCs w:val="21"/>
    </w:rPr>
  </w:style>
  <w:style w:type="paragraph" w:styleId="46">
    <w:name w:val="List Bullet 5"/>
    <w:basedOn w:val="1"/>
    <w:semiHidden/>
    <w:unhideWhenUsed/>
    <w:qFormat/>
    <w:uiPriority w:val="99"/>
    <w:pPr>
      <w:numPr>
        <w:ilvl w:val="0"/>
        <w:numId w:val="10"/>
      </w:numPr>
      <w:contextualSpacing/>
    </w:pPr>
  </w:style>
  <w:style w:type="paragraph" w:styleId="47">
    <w:name w:val="List Number 4"/>
    <w:basedOn w:val="1"/>
    <w:semiHidden/>
    <w:unhideWhenUsed/>
    <w:qFormat/>
    <w:uiPriority w:val="99"/>
    <w:pPr>
      <w:numPr>
        <w:ilvl w:val="0"/>
        <w:numId w:val="11"/>
      </w:numPr>
      <w:contextualSpacing/>
    </w:pPr>
  </w:style>
  <w:style w:type="paragraph" w:styleId="48">
    <w:name w:val="toc 8"/>
    <w:basedOn w:val="1"/>
    <w:next w:val="1"/>
    <w:autoRedefine/>
    <w:unhideWhenUsed/>
    <w:qFormat/>
    <w:uiPriority w:val="39"/>
    <w:pPr>
      <w:ind w:left="2940" w:leftChars="1400"/>
    </w:pPr>
  </w:style>
  <w:style w:type="paragraph" w:styleId="49">
    <w:name w:val="index 3"/>
    <w:basedOn w:val="1"/>
    <w:next w:val="1"/>
    <w:autoRedefine/>
    <w:semiHidden/>
    <w:unhideWhenUsed/>
    <w:qFormat/>
    <w:uiPriority w:val="99"/>
    <w:pPr>
      <w:ind w:left="400" w:leftChars="400" w:firstLine="0"/>
    </w:pPr>
  </w:style>
  <w:style w:type="paragraph" w:styleId="50">
    <w:name w:val="Date"/>
    <w:basedOn w:val="1"/>
    <w:next w:val="1"/>
    <w:link w:val="162"/>
    <w:semiHidden/>
    <w:unhideWhenUsed/>
    <w:qFormat/>
    <w:uiPriority w:val="99"/>
    <w:pPr>
      <w:ind w:left="100" w:leftChars="2500"/>
    </w:pPr>
  </w:style>
  <w:style w:type="paragraph" w:styleId="51">
    <w:name w:val="Body Text Indent 2"/>
    <w:basedOn w:val="1"/>
    <w:link w:val="175"/>
    <w:semiHidden/>
    <w:unhideWhenUsed/>
    <w:qFormat/>
    <w:uiPriority w:val="99"/>
    <w:pPr>
      <w:spacing w:after="120" w:line="480" w:lineRule="auto"/>
      <w:ind w:left="420" w:leftChars="200"/>
    </w:pPr>
  </w:style>
  <w:style w:type="paragraph" w:styleId="52">
    <w:name w:val="endnote text"/>
    <w:basedOn w:val="1"/>
    <w:link w:val="164"/>
    <w:semiHidden/>
    <w:unhideWhenUsed/>
    <w:qFormat/>
    <w:uiPriority w:val="99"/>
    <w:pPr>
      <w:snapToGrid w:val="0"/>
      <w:jc w:val="left"/>
    </w:pPr>
  </w:style>
  <w:style w:type="paragraph" w:styleId="53">
    <w:name w:val="List Continue 5"/>
    <w:basedOn w:val="1"/>
    <w:semiHidden/>
    <w:unhideWhenUsed/>
    <w:qFormat/>
    <w:uiPriority w:val="99"/>
    <w:pPr>
      <w:spacing w:after="120"/>
      <w:ind w:left="2100" w:leftChars="1000"/>
      <w:contextualSpacing/>
    </w:pPr>
  </w:style>
  <w:style w:type="paragraph" w:styleId="54">
    <w:name w:val="Balloon Text"/>
    <w:basedOn w:val="1"/>
    <w:link w:val="101"/>
    <w:semiHidden/>
    <w:unhideWhenUsed/>
    <w:qFormat/>
    <w:uiPriority w:val="99"/>
    <w:pPr>
      <w:spacing w:line="240" w:lineRule="auto"/>
    </w:pPr>
    <w:rPr>
      <w:sz w:val="18"/>
      <w:szCs w:val="18"/>
    </w:rPr>
  </w:style>
  <w:style w:type="paragraph" w:styleId="55">
    <w:name w:val="footer"/>
    <w:basedOn w:val="1"/>
    <w:link w:val="100"/>
    <w:unhideWhenUsed/>
    <w:qFormat/>
    <w:uiPriority w:val="99"/>
    <w:pPr>
      <w:tabs>
        <w:tab w:val="center" w:pos="4153"/>
        <w:tab w:val="right" w:pos="8306"/>
      </w:tabs>
      <w:snapToGrid w:val="0"/>
      <w:spacing w:line="240" w:lineRule="auto"/>
      <w:jc w:val="left"/>
    </w:pPr>
    <w:rPr>
      <w:sz w:val="18"/>
      <w:szCs w:val="18"/>
    </w:rPr>
  </w:style>
  <w:style w:type="paragraph" w:styleId="56">
    <w:name w:val="envelope return"/>
    <w:basedOn w:val="1"/>
    <w:semiHidden/>
    <w:unhideWhenUsed/>
    <w:qFormat/>
    <w:uiPriority w:val="99"/>
    <w:pPr>
      <w:snapToGrid w:val="0"/>
    </w:pPr>
    <w:rPr>
      <w:rFonts w:asciiTheme="majorHAnsi" w:hAnsiTheme="majorHAnsi" w:eastAsiaTheme="majorEastAsia" w:cstheme="majorBidi"/>
    </w:rPr>
  </w:style>
  <w:style w:type="paragraph" w:styleId="57">
    <w:name w:val="header"/>
    <w:basedOn w:val="1"/>
    <w:link w:val="99"/>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58">
    <w:name w:val="Signature"/>
    <w:basedOn w:val="1"/>
    <w:link w:val="161"/>
    <w:semiHidden/>
    <w:unhideWhenUsed/>
    <w:qFormat/>
    <w:uiPriority w:val="99"/>
    <w:pPr>
      <w:ind w:left="100" w:leftChars="2100"/>
    </w:pPr>
  </w:style>
  <w:style w:type="paragraph" w:styleId="59">
    <w:name w:val="toc 1"/>
    <w:basedOn w:val="1"/>
    <w:next w:val="1"/>
    <w:autoRedefine/>
    <w:unhideWhenUsed/>
    <w:qFormat/>
    <w:uiPriority w:val="39"/>
  </w:style>
  <w:style w:type="paragraph" w:styleId="60">
    <w:name w:val="List Continue 4"/>
    <w:basedOn w:val="1"/>
    <w:semiHidden/>
    <w:unhideWhenUsed/>
    <w:qFormat/>
    <w:uiPriority w:val="99"/>
    <w:pPr>
      <w:spacing w:after="120"/>
      <w:ind w:left="1680" w:leftChars="800"/>
      <w:contextualSpacing/>
    </w:pPr>
  </w:style>
  <w:style w:type="paragraph" w:styleId="61">
    <w:name w:val="toc 4"/>
    <w:basedOn w:val="1"/>
    <w:next w:val="1"/>
    <w:autoRedefine/>
    <w:unhideWhenUsed/>
    <w:qFormat/>
    <w:uiPriority w:val="39"/>
    <w:pPr>
      <w:ind w:left="1260" w:leftChars="600"/>
    </w:pPr>
  </w:style>
  <w:style w:type="paragraph" w:styleId="62">
    <w:name w:val="index heading"/>
    <w:basedOn w:val="1"/>
    <w:next w:val="63"/>
    <w:semiHidden/>
    <w:unhideWhenUsed/>
    <w:qFormat/>
    <w:uiPriority w:val="99"/>
    <w:rPr>
      <w:rFonts w:asciiTheme="majorHAnsi" w:hAnsiTheme="majorHAnsi" w:eastAsiaTheme="majorEastAsia" w:cstheme="majorBidi"/>
      <w:b/>
      <w:bCs/>
    </w:rPr>
  </w:style>
  <w:style w:type="paragraph" w:styleId="63">
    <w:name w:val="index 1"/>
    <w:basedOn w:val="1"/>
    <w:next w:val="1"/>
    <w:autoRedefine/>
    <w:semiHidden/>
    <w:unhideWhenUsed/>
    <w:qFormat/>
    <w:uiPriority w:val="99"/>
    <w:pPr>
      <w:ind w:firstLine="0"/>
    </w:pPr>
  </w:style>
  <w:style w:type="paragraph" w:styleId="64">
    <w:name w:val="Subtitle"/>
    <w:basedOn w:val="1"/>
    <w:next w:val="1"/>
    <w:link w:val="150"/>
    <w:qFormat/>
    <w:uiPriority w:val="11"/>
    <w:pPr>
      <w:spacing w:line="240" w:lineRule="auto"/>
      <w:ind w:firstLine="0" w:firstLineChars="0"/>
      <w:jc w:val="center"/>
    </w:pPr>
    <w:rPr>
      <w:rFonts w:hint="eastAsia" w:ascii="等线 Light" w:hAnsi="等线 Light" w:cs="Times New Roman"/>
      <w:bCs/>
      <w:kern w:val="28"/>
      <w:sz w:val="21"/>
      <w:szCs w:val="32"/>
    </w:rPr>
  </w:style>
  <w:style w:type="paragraph" w:styleId="65">
    <w:name w:val="List Number 5"/>
    <w:basedOn w:val="1"/>
    <w:semiHidden/>
    <w:unhideWhenUsed/>
    <w:qFormat/>
    <w:uiPriority w:val="99"/>
    <w:pPr>
      <w:numPr>
        <w:ilvl w:val="0"/>
        <w:numId w:val="12"/>
      </w:numPr>
      <w:contextualSpacing/>
    </w:pPr>
  </w:style>
  <w:style w:type="paragraph" w:styleId="66">
    <w:name w:val="List"/>
    <w:basedOn w:val="1"/>
    <w:semiHidden/>
    <w:unhideWhenUsed/>
    <w:qFormat/>
    <w:uiPriority w:val="99"/>
    <w:pPr>
      <w:ind w:left="200" w:hanging="200" w:hangingChars="200"/>
      <w:contextualSpacing/>
    </w:pPr>
  </w:style>
  <w:style w:type="paragraph" w:styleId="67">
    <w:name w:val="footnote text"/>
    <w:basedOn w:val="1"/>
    <w:link w:val="157"/>
    <w:semiHidden/>
    <w:unhideWhenUsed/>
    <w:qFormat/>
    <w:uiPriority w:val="99"/>
    <w:pPr>
      <w:snapToGrid w:val="0"/>
      <w:jc w:val="left"/>
    </w:pPr>
    <w:rPr>
      <w:sz w:val="18"/>
      <w:szCs w:val="18"/>
    </w:rPr>
  </w:style>
  <w:style w:type="paragraph" w:styleId="68">
    <w:name w:val="toc 6"/>
    <w:basedOn w:val="1"/>
    <w:next w:val="1"/>
    <w:autoRedefine/>
    <w:unhideWhenUsed/>
    <w:qFormat/>
    <w:uiPriority w:val="39"/>
    <w:pPr>
      <w:ind w:left="2100" w:leftChars="1000"/>
    </w:pPr>
  </w:style>
  <w:style w:type="paragraph" w:styleId="69">
    <w:name w:val="List 5"/>
    <w:basedOn w:val="1"/>
    <w:semiHidden/>
    <w:unhideWhenUsed/>
    <w:qFormat/>
    <w:uiPriority w:val="99"/>
    <w:pPr>
      <w:ind w:left="100" w:leftChars="800" w:hanging="200" w:hangingChars="200"/>
      <w:contextualSpacing/>
    </w:pPr>
  </w:style>
  <w:style w:type="paragraph" w:styleId="70">
    <w:name w:val="Body Text Indent 3"/>
    <w:basedOn w:val="1"/>
    <w:link w:val="176"/>
    <w:semiHidden/>
    <w:unhideWhenUsed/>
    <w:qFormat/>
    <w:uiPriority w:val="99"/>
    <w:pPr>
      <w:spacing w:after="120"/>
      <w:ind w:left="420" w:leftChars="200"/>
    </w:pPr>
    <w:rPr>
      <w:sz w:val="16"/>
      <w:szCs w:val="16"/>
    </w:rPr>
  </w:style>
  <w:style w:type="paragraph" w:styleId="71">
    <w:name w:val="index 7"/>
    <w:basedOn w:val="1"/>
    <w:next w:val="1"/>
    <w:autoRedefine/>
    <w:semiHidden/>
    <w:unhideWhenUsed/>
    <w:qFormat/>
    <w:uiPriority w:val="99"/>
    <w:pPr>
      <w:ind w:left="1200" w:leftChars="1200" w:firstLine="0"/>
    </w:pPr>
  </w:style>
  <w:style w:type="paragraph" w:styleId="72">
    <w:name w:val="index 9"/>
    <w:basedOn w:val="1"/>
    <w:next w:val="1"/>
    <w:autoRedefine/>
    <w:semiHidden/>
    <w:unhideWhenUsed/>
    <w:qFormat/>
    <w:uiPriority w:val="99"/>
    <w:pPr>
      <w:ind w:left="1600" w:leftChars="1600" w:firstLine="0"/>
    </w:pPr>
  </w:style>
  <w:style w:type="paragraph" w:styleId="73">
    <w:name w:val="table of figures"/>
    <w:basedOn w:val="1"/>
    <w:next w:val="1"/>
    <w:semiHidden/>
    <w:unhideWhenUsed/>
    <w:qFormat/>
    <w:uiPriority w:val="99"/>
    <w:pPr>
      <w:ind w:left="200" w:leftChars="200" w:hanging="200" w:hangingChars="200"/>
    </w:pPr>
  </w:style>
  <w:style w:type="paragraph" w:styleId="74">
    <w:name w:val="toc 2"/>
    <w:basedOn w:val="1"/>
    <w:next w:val="1"/>
    <w:autoRedefine/>
    <w:unhideWhenUsed/>
    <w:qFormat/>
    <w:uiPriority w:val="39"/>
    <w:pPr>
      <w:tabs>
        <w:tab w:val="right" w:leader="dot" w:pos="9855"/>
      </w:tabs>
      <w:ind w:left="480" w:leftChars="200" w:firstLine="480"/>
    </w:pPr>
  </w:style>
  <w:style w:type="paragraph" w:styleId="75">
    <w:name w:val="toc 9"/>
    <w:basedOn w:val="1"/>
    <w:next w:val="1"/>
    <w:autoRedefine/>
    <w:unhideWhenUsed/>
    <w:qFormat/>
    <w:uiPriority w:val="39"/>
    <w:pPr>
      <w:ind w:left="3360" w:leftChars="1600"/>
    </w:pPr>
  </w:style>
  <w:style w:type="paragraph" w:styleId="76">
    <w:name w:val="Body Text 2"/>
    <w:basedOn w:val="1"/>
    <w:link w:val="170"/>
    <w:semiHidden/>
    <w:unhideWhenUsed/>
    <w:qFormat/>
    <w:uiPriority w:val="99"/>
    <w:pPr>
      <w:spacing w:after="120" w:line="480" w:lineRule="auto"/>
    </w:pPr>
  </w:style>
  <w:style w:type="paragraph" w:styleId="77">
    <w:name w:val="List 4"/>
    <w:basedOn w:val="1"/>
    <w:semiHidden/>
    <w:unhideWhenUsed/>
    <w:qFormat/>
    <w:uiPriority w:val="99"/>
    <w:pPr>
      <w:ind w:left="100" w:leftChars="600" w:hanging="200" w:hangingChars="200"/>
      <w:contextualSpacing/>
    </w:pPr>
  </w:style>
  <w:style w:type="paragraph" w:styleId="78">
    <w:name w:val="List Continue 2"/>
    <w:basedOn w:val="1"/>
    <w:semiHidden/>
    <w:unhideWhenUsed/>
    <w:qFormat/>
    <w:uiPriority w:val="99"/>
    <w:pPr>
      <w:spacing w:after="120"/>
      <w:ind w:left="840" w:leftChars="400"/>
      <w:contextualSpacing/>
    </w:pPr>
  </w:style>
  <w:style w:type="paragraph" w:styleId="79">
    <w:name w:val="Message Header"/>
    <w:basedOn w:val="1"/>
    <w:link w:val="167"/>
    <w:semiHidden/>
    <w:unhideWhenUsed/>
    <w:qFormat/>
    <w:uiPriority w:val="99"/>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Cs w:val="24"/>
    </w:rPr>
  </w:style>
  <w:style w:type="paragraph" w:styleId="80">
    <w:name w:val="HTML Preformatted"/>
    <w:basedOn w:val="1"/>
    <w:link w:val="152"/>
    <w:semiHidden/>
    <w:unhideWhenUsed/>
    <w:qFormat/>
    <w:uiPriority w:val="99"/>
    <w:rPr>
      <w:rFonts w:ascii="Courier New" w:hAnsi="Courier New" w:cs="Courier New"/>
      <w:sz w:val="20"/>
      <w:szCs w:val="20"/>
    </w:rPr>
  </w:style>
  <w:style w:type="paragraph" w:styleId="81">
    <w:name w:val="Normal (Web)"/>
    <w:basedOn w:val="1"/>
    <w:semiHidden/>
    <w:unhideWhenUsed/>
    <w:qFormat/>
    <w:uiPriority w:val="99"/>
    <w:rPr>
      <w:rFonts w:cs="Times New Roman"/>
      <w:szCs w:val="24"/>
    </w:rPr>
  </w:style>
  <w:style w:type="paragraph" w:styleId="82">
    <w:name w:val="List Continue 3"/>
    <w:basedOn w:val="1"/>
    <w:semiHidden/>
    <w:unhideWhenUsed/>
    <w:qFormat/>
    <w:uiPriority w:val="99"/>
    <w:pPr>
      <w:spacing w:after="120"/>
      <w:ind w:left="1260" w:leftChars="600"/>
      <w:contextualSpacing/>
    </w:pPr>
  </w:style>
  <w:style w:type="paragraph" w:styleId="83">
    <w:name w:val="index 2"/>
    <w:basedOn w:val="1"/>
    <w:next w:val="1"/>
    <w:autoRedefine/>
    <w:semiHidden/>
    <w:unhideWhenUsed/>
    <w:qFormat/>
    <w:uiPriority w:val="99"/>
    <w:pPr>
      <w:ind w:left="200" w:leftChars="200" w:firstLine="0"/>
    </w:pPr>
  </w:style>
  <w:style w:type="paragraph" w:styleId="84">
    <w:name w:val="Title"/>
    <w:basedOn w:val="1"/>
    <w:next w:val="1"/>
    <w:link w:val="153"/>
    <w:qFormat/>
    <w:uiPriority w:val="10"/>
    <w:pPr>
      <w:spacing w:before="240" w:after="60"/>
      <w:jc w:val="center"/>
      <w:outlineLvl w:val="0"/>
    </w:pPr>
    <w:rPr>
      <w:rFonts w:asciiTheme="majorHAnsi" w:hAnsiTheme="majorHAnsi" w:eastAsiaTheme="majorEastAsia" w:cstheme="majorBidi"/>
      <w:b/>
      <w:bCs/>
      <w:sz w:val="32"/>
      <w:szCs w:val="32"/>
    </w:rPr>
  </w:style>
  <w:style w:type="paragraph" w:styleId="85">
    <w:name w:val="annotation subject"/>
    <w:basedOn w:val="28"/>
    <w:next w:val="28"/>
    <w:link w:val="118"/>
    <w:semiHidden/>
    <w:unhideWhenUsed/>
    <w:qFormat/>
    <w:uiPriority w:val="99"/>
    <w:rPr>
      <w:b/>
      <w:bCs/>
    </w:rPr>
  </w:style>
  <w:style w:type="paragraph" w:styleId="86">
    <w:name w:val="Body Text First Indent"/>
    <w:basedOn w:val="34"/>
    <w:link w:val="172"/>
    <w:semiHidden/>
    <w:unhideWhenUsed/>
    <w:qFormat/>
    <w:uiPriority w:val="99"/>
    <w:pPr>
      <w:suppressAutoHyphens w:val="0"/>
      <w:adjustRightInd/>
      <w:spacing w:after="120" w:line="360" w:lineRule="auto"/>
      <w:ind w:firstLine="420" w:firstLineChars="100"/>
      <w:jc w:val="both"/>
    </w:pPr>
    <w:rPr>
      <w:rFonts w:cstheme="minorBidi"/>
      <w:spacing w:val="0"/>
      <w:kern w:val="2"/>
      <w:szCs w:val="22"/>
    </w:rPr>
  </w:style>
  <w:style w:type="paragraph" w:styleId="87">
    <w:name w:val="Body Text First Indent 2"/>
    <w:basedOn w:val="35"/>
    <w:link w:val="174"/>
    <w:semiHidden/>
    <w:unhideWhenUsed/>
    <w:qFormat/>
    <w:uiPriority w:val="99"/>
    <w:pPr>
      <w:ind w:firstLine="420"/>
    </w:pPr>
  </w:style>
  <w:style w:type="table" w:styleId="89">
    <w:name w:val="Table Grid"/>
    <w:basedOn w:val="8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0">
    <w:name w:val="Table Theme"/>
    <w:basedOn w:val="8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Emphasis"/>
    <w:qFormat/>
    <w:uiPriority w:val="20"/>
    <w:rPr>
      <w:i/>
      <w:iCs/>
    </w:rPr>
  </w:style>
  <w:style w:type="character" w:styleId="93">
    <w:name w:val="Hyperlink"/>
    <w:basedOn w:val="91"/>
    <w:unhideWhenUsed/>
    <w:qFormat/>
    <w:uiPriority w:val="99"/>
    <w:rPr>
      <w:color w:val="0563C1" w:themeColor="hyperlink"/>
      <w:u w:val="single"/>
    </w:rPr>
  </w:style>
  <w:style w:type="character" w:styleId="94">
    <w:name w:val="annotation reference"/>
    <w:basedOn w:val="91"/>
    <w:semiHidden/>
    <w:unhideWhenUsed/>
    <w:qFormat/>
    <w:uiPriority w:val="99"/>
    <w:rPr>
      <w:sz w:val="21"/>
      <w:szCs w:val="21"/>
    </w:rPr>
  </w:style>
  <w:style w:type="character" w:customStyle="1" w:styleId="95">
    <w:name w:val="标题 1 字符"/>
    <w:basedOn w:val="91"/>
    <w:link w:val="3"/>
    <w:qFormat/>
    <w:uiPriority w:val="9"/>
    <w:rPr>
      <w:rFonts w:ascii="Times New Roman" w:hAnsi="Times New Roman" w:eastAsia="宋体"/>
      <w:b/>
      <w:bCs/>
      <w:kern w:val="44"/>
      <w:sz w:val="32"/>
      <w:szCs w:val="44"/>
    </w:rPr>
  </w:style>
  <w:style w:type="character" w:customStyle="1" w:styleId="96">
    <w:name w:val="标题 2 字符"/>
    <w:basedOn w:val="91"/>
    <w:link w:val="4"/>
    <w:qFormat/>
    <w:uiPriority w:val="9"/>
    <w:rPr>
      <w:rFonts w:ascii="Times New Roman" w:hAnsi="Times New Roman" w:eastAsia="宋体" w:cstheme="majorBidi"/>
      <w:b/>
      <w:bCs/>
      <w:color w:val="FF6600"/>
      <w:sz w:val="30"/>
      <w:szCs w:val="32"/>
    </w:rPr>
  </w:style>
  <w:style w:type="character" w:customStyle="1" w:styleId="97">
    <w:name w:val="标题 3 字符"/>
    <w:basedOn w:val="91"/>
    <w:link w:val="5"/>
    <w:qFormat/>
    <w:uiPriority w:val="9"/>
    <w:rPr>
      <w:rFonts w:ascii="Times New Roman" w:hAnsi="Times New Roman" w:eastAsia="宋体"/>
      <w:bCs/>
      <w:color w:val="0066FF"/>
      <w:sz w:val="28"/>
      <w:szCs w:val="32"/>
    </w:rPr>
  </w:style>
  <w:style w:type="character" w:customStyle="1" w:styleId="98">
    <w:name w:val="标题 4 字符"/>
    <w:basedOn w:val="91"/>
    <w:link w:val="6"/>
    <w:qFormat/>
    <w:uiPriority w:val="9"/>
    <w:rPr>
      <w:rFonts w:ascii="Times New Roman" w:hAnsi="Times New Roman" w:eastAsia="宋体" w:cstheme="majorBidi"/>
      <w:b/>
      <w:bCs/>
      <w:color w:val="00CC00"/>
      <w:sz w:val="24"/>
      <w:szCs w:val="28"/>
    </w:rPr>
  </w:style>
  <w:style w:type="character" w:customStyle="1" w:styleId="99">
    <w:name w:val="页眉 字符"/>
    <w:basedOn w:val="91"/>
    <w:link w:val="57"/>
    <w:qFormat/>
    <w:uiPriority w:val="99"/>
    <w:rPr>
      <w:rFonts w:ascii="Times New Roman" w:hAnsi="Times New Roman" w:eastAsia="宋体"/>
      <w:sz w:val="18"/>
      <w:szCs w:val="18"/>
    </w:rPr>
  </w:style>
  <w:style w:type="character" w:customStyle="1" w:styleId="100">
    <w:name w:val="页脚 字符"/>
    <w:basedOn w:val="91"/>
    <w:link w:val="55"/>
    <w:qFormat/>
    <w:uiPriority w:val="99"/>
    <w:rPr>
      <w:rFonts w:ascii="Times New Roman" w:hAnsi="Times New Roman" w:eastAsia="宋体"/>
      <w:sz w:val="18"/>
      <w:szCs w:val="18"/>
    </w:rPr>
  </w:style>
  <w:style w:type="character" w:customStyle="1" w:styleId="101">
    <w:name w:val="批注框文本 字符"/>
    <w:basedOn w:val="91"/>
    <w:link w:val="54"/>
    <w:semiHidden/>
    <w:qFormat/>
    <w:uiPriority w:val="99"/>
    <w:rPr>
      <w:rFonts w:ascii="Times New Roman" w:hAnsi="Times New Roman" w:eastAsia="宋体"/>
      <w:sz w:val="18"/>
      <w:szCs w:val="18"/>
    </w:rPr>
  </w:style>
  <w:style w:type="paragraph" w:styleId="102">
    <w:name w:val="List Paragraph"/>
    <w:basedOn w:val="1"/>
    <w:qFormat/>
    <w:uiPriority w:val="99"/>
    <w:pPr>
      <w:ind w:firstLine="420"/>
    </w:pPr>
  </w:style>
  <w:style w:type="paragraph" w:customStyle="1" w:styleId="103">
    <w:name w:val="TOC Heading"/>
    <w:basedOn w:val="3"/>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496" w:themeColor="accent1" w:themeShade="BF"/>
      <w:kern w:val="0"/>
      <w:szCs w:val="32"/>
    </w:rPr>
  </w:style>
  <w:style w:type="paragraph" w:customStyle="1" w:styleId="104">
    <w:name w:val="（1）"/>
    <w:basedOn w:val="1"/>
    <w:link w:val="105"/>
    <w:autoRedefine/>
    <w:qFormat/>
    <w:uiPriority w:val="0"/>
    <w:pPr>
      <w:numPr>
        <w:ilvl w:val="0"/>
        <w:numId w:val="13"/>
      </w:numPr>
      <w:ind w:left="480" w:hanging="480" w:hangingChars="200"/>
      <w:contextualSpacing/>
    </w:pPr>
  </w:style>
  <w:style w:type="character" w:customStyle="1" w:styleId="105">
    <w:name w:val="（1） 字符"/>
    <w:basedOn w:val="91"/>
    <w:link w:val="104"/>
    <w:qFormat/>
    <w:uiPriority w:val="0"/>
    <w:rPr>
      <w:rFonts w:ascii="Times New Roman" w:hAnsi="Times New Roman" w:eastAsia="宋体"/>
      <w:sz w:val="24"/>
    </w:rPr>
  </w:style>
  <w:style w:type="character" w:customStyle="1" w:styleId="106">
    <w:name w:val="标题 6 字符"/>
    <w:basedOn w:val="91"/>
    <w:link w:val="9"/>
    <w:semiHidden/>
    <w:qFormat/>
    <w:uiPriority w:val="9"/>
    <w:rPr>
      <w:rFonts w:asciiTheme="majorHAnsi" w:hAnsiTheme="majorHAnsi" w:eastAsiaTheme="majorEastAsia" w:cstheme="majorBidi"/>
      <w:b/>
      <w:bCs/>
      <w:sz w:val="24"/>
      <w:szCs w:val="24"/>
    </w:rPr>
  </w:style>
  <w:style w:type="paragraph" w:customStyle="1" w:styleId="107">
    <w:name w:val="表头"/>
    <w:basedOn w:val="1"/>
    <w:qFormat/>
    <w:uiPriority w:val="0"/>
    <w:pPr>
      <w:spacing w:before="50" w:beforeLines="50" w:after="50" w:afterLines="50" w:line="240" w:lineRule="auto"/>
      <w:ind w:firstLine="0" w:firstLineChars="0"/>
      <w:jc w:val="center"/>
    </w:pPr>
    <w:rPr>
      <w:rFonts w:ascii="宋体" w:hAnsi="宋体" w:cs="宋体"/>
      <w:b/>
      <w:snapToGrid w:val="0"/>
      <w:kern w:val="0"/>
      <w:sz w:val="21"/>
      <w:szCs w:val="24"/>
    </w:rPr>
  </w:style>
  <w:style w:type="paragraph" w:customStyle="1" w:styleId="108">
    <w:name w:val="表格"/>
    <w:link w:val="109"/>
    <w:qFormat/>
    <w:uiPriority w:val="0"/>
    <w:pPr>
      <w:widowControl w:val="0"/>
      <w:adjustRightInd w:val="0"/>
      <w:spacing w:line="360" w:lineRule="auto"/>
      <w:jc w:val="center"/>
    </w:pPr>
    <w:rPr>
      <w:rFonts w:ascii="宋体" w:hAnsi="Times New Roman" w:eastAsia="宋体" w:cs="Times New Roman"/>
      <w:kern w:val="0"/>
      <w:sz w:val="21"/>
      <w:szCs w:val="20"/>
      <w:lang w:val="en-US" w:eastAsia="zh-CN" w:bidi="ar-SA"/>
    </w:rPr>
  </w:style>
  <w:style w:type="character" w:customStyle="1" w:styleId="109">
    <w:name w:val="表格 Char"/>
    <w:link w:val="108"/>
    <w:qFormat/>
    <w:locked/>
    <w:uiPriority w:val="0"/>
    <w:rPr>
      <w:rFonts w:ascii="宋体" w:hAnsi="Times New Roman" w:eastAsia="宋体" w:cs="Times New Roman"/>
      <w:kern w:val="0"/>
      <w:szCs w:val="20"/>
    </w:rPr>
  </w:style>
  <w:style w:type="paragraph" w:customStyle="1" w:styleId="110">
    <w:name w:val="正文2"/>
    <w:basedOn w:val="1"/>
    <w:link w:val="111"/>
    <w:qFormat/>
    <w:uiPriority w:val="0"/>
    <w:rPr>
      <w:rFonts w:ascii="宋体" w:hAnsi="宋体" w:cs="Times New Roman"/>
      <w:szCs w:val="24"/>
    </w:rPr>
  </w:style>
  <w:style w:type="character" w:customStyle="1" w:styleId="111">
    <w:name w:val="正文2 字符"/>
    <w:link w:val="110"/>
    <w:qFormat/>
    <w:uiPriority w:val="0"/>
    <w:rPr>
      <w:rFonts w:ascii="宋体" w:hAnsi="宋体" w:eastAsia="宋体" w:cs="Times New Roman"/>
      <w:sz w:val="24"/>
      <w:szCs w:val="24"/>
    </w:rPr>
  </w:style>
  <w:style w:type="character" w:customStyle="1" w:styleId="112">
    <w:name w:val="标准 正文 QJJ Char Char"/>
    <w:link w:val="113"/>
    <w:qFormat/>
    <w:uiPriority w:val="99"/>
    <w:rPr>
      <w:rFonts w:ascii="宋体" w:hAnsi="Arial"/>
      <w:spacing w:val="20"/>
      <w:sz w:val="24"/>
      <w:szCs w:val="24"/>
    </w:rPr>
  </w:style>
  <w:style w:type="paragraph" w:customStyle="1" w:styleId="113">
    <w:name w:val="标准 正文 QJJ"/>
    <w:basedOn w:val="1"/>
    <w:link w:val="112"/>
    <w:qFormat/>
    <w:uiPriority w:val="99"/>
    <w:pPr>
      <w:autoSpaceDE w:val="0"/>
      <w:autoSpaceDN w:val="0"/>
      <w:adjustRightInd w:val="0"/>
      <w:spacing w:line="520" w:lineRule="exact"/>
      <w:ind w:firstLine="480"/>
      <w:jc w:val="left"/>
    </w:pPr>
    <w:rPr>
      <w:rFonts w:ascii="宋体" w:hAnsi="Arial" w:eastAsiaTheme="minorEastAsia"/>
      <w:spacing w:val="20"/>
      <w:szCs w:val="24"/>
    </w:rPr>
  </w:style>
  <w:style w:type="paragraph" w:customStyle="1" w:styleId="114">
    <w:name w:val="图表"/>
    <w:basedOn w:val="1"/>
    <w:link w:val="115"/>
    <w:qFormat/>
    <w:uiPriority w:val="0"/>
    <w:pPr>
      <w:spacing w:line="240" w:lineRule="auto"/>
      <w:ind w:firstLine="0" w:firstLineChars="0"/>
      <w:jc w:val="center"/>
    </w:pPr>
  </w:style>
  <w:style w:type="character" w:customStyle="1" w:styleId="115">
    <w:name w:val="图表 字符"/>
    <w:basedOn w:val="91"/>
    <w:link w:val="114"/>
    <w:qFormat/>
    <w:uiPriority w:val="0"/>
    <w:rPr>
      <w:rFonts w:ascii="Times New Roman" w:hAnsi="Times New Roman" w:eastAsia="宋体"/>
      <w:sz w:val="24"/>
    </w:rPr>
  </w:style>
  <w:style w:type="table" w:customStyle="1" w:styleId="116">
    <w:name w:val="网格型1"/>
    <w:basedOn w:val="8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7">
    <w:name w:val="批注文字 字符"/>
    <w:basedOn w:val="91"/>
    <w:link w:val="28"/>
    <w:semiHidden/>
    <w:qFormat/>
    <w:uiPriority w:val="99"/>
    <w:rPr>
      <w:rFonts w:ascii="Times New Roman" w:hAnsi="Times New Roman" w:eastAsia="宋体"/>
      <w:sz w:val="24"/>
    </w:rPr>
  </w:style>
  <w:style w:type="character" w:customStyle="1" w:styleId="118">
    <w:name w:val="批注主题 字符"/>
    <w:basedOn w:val="117"/>
    <w:link w:val="85"/>
    <w:semiHidden/>
    <w:qFormat/>
    <w:uiPriority w:val="99"/>
    <w:rPr>
      <w:rFonts w:ascii="Times New Roman" w:hAnsi="Times New Roman" w:eastAsia="宋体"/>
      <w:b/>
      <w:bCs/>
      <w:sz w:val="24"/>
    </w:rPr>
  </w:style>
  <w:style w:type="character" w:customStyle="1" w:styleId="119">
    <w:name w:val="Unresolved Mention"/>
    <w:basedOn w:val="91"/>
    <w:semiHidden/>
    <w:unhideWhenUsed/>
    <w:qFormat/>
    <w:uiPriority w:val="99"/>
    <w:rPr>
      <w:color w:val="605E5C"/>
      <w:shd w:val="clear" w:color="auto" w:fill="E1DFDD"/>
    </w:rPr>
  </w:style>
  <w:style w:type="character" w:customStyle="1" w:styleId="120">
    <w:name w:val="正文文本 字符"/>
    <w:basedOn w:val="91"/>
    <w:link w:val="34"/>
    <w:qFormat/>
    <w:uiPriority w:val="0"/>
    <w:rPr>
      <w:rFonts w:ascii="Times New Roman" w:hAnsi="Times New Roman" w:eastAsia="宋体" w:cs="Times New Roman"/>
      <w:spacing w:val="-4"/>
      <w:kern w:val="0"/>
      <w:sz w:val="24"/>
      <w:szCs w:val="20"/>
    </w:rPr>
  </w:style>
  <w:style w:type="character" w:customStyle="1" w:styleId="121">
    <w:name w:val="！正文 Char"/>
    <w:link w:val="122"/>
    <w:qFormat/>
    <w:locked/>
    <w:uiPriority w:val="0"/>
    <w:rPr>
      <w:rFonts w:ascii="Arial" w:hAnsi="Arial" w:cs="宋体"/>
      <w:sz w:val="24"/>
      <w:szCs w:val="24"/>
    </w:rPr>
  </w:style>
  <w:style w:type="paragraph" w:customStyle="1" w:styleId="122">
    <w:name w:val="！正文"/>
    <w:basedOn w:val="1"/>
    <w:link w:val="121"/>
    <w:qFormat/>
    <w:uiPriority w:val="0"/>
    <w:pPr>
      <w:ind w:firstLine="480"/>
    </w:pPr>
    <w:rPr>
      <w:rFonts w:ascii="Arial" w:hAnsi="Arial" w:cs="宋体" w:eastAsiaTheme="minorEastAsia"/>
      <w:szCs w:val="24"/>
    </w:rPr>
  </w:style>
  <w:style w:type="paragraph" w:customStyle="1" w:styleId="123">
    <w:name w:val="1、"/>
    <w:basedOn w:val="1"/>
    <w:link w:val="124"/>
    <w:qFormat/>
    <w:uiPriority w:val="0"/>
    <w:rPr>
      <w:sz w:val="28"/>
    </w:rPr>
  </w:style>
  <w:style w:type="character" w:customStyle="1" w:styleId="124">
    <w:name w:val="1、 字符"/>
    <w:basedOn w:val="91"/>
    <w:link w:val="123"/>
    <w:qFormat/>
    <w:uiPriority w:val="0"/>
    <w:rPr>
      <w:rFonts w:ascii="Times New Roman" w:hAnsi="Times New Roman" w:eastAsia="宋体"/>
      <w:sz w:val="28"/>
    </w:rPr>
  </w:style>
  <w:style w:type="paragraph" w:customStyle="1" w:styleId="125">
    <w:name w:val="表格，内容"/>
    <w:basedOn w:val="1"/>
    <w:qFormat/>
    <w:uiPriority w:val="0"/>
    <w:pPr>
      <w:spacing w:before="40" w:after="40" w:line="240" w:lineRule="exact"/>
      <w:ind w:firstLine="0" w:firstLineChars="0"/>
      <w:jc w:val="center"/>
    </w:pPr>
    <w:rPr>
      <w:rFonts w:ascii="宋体" w:cs="Times New Roman"/>
      <w:spacing w:val="6"/>
      <w:kern w:val="44"/>
      <w:sz w:val="21"/>
      <w:szCs w:val="24"/>
    </w:rPr>
  </w:style>
  <w:style w:type="table" w:customStyle="1" w:styleId="126">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character" w:customStyle="1" w:styleId="127">
    <w:name w:val="纯文本 字符"/>
    <w:basedOn w:val="91"/>
    <w:link w:val="45"/>
    <w:qFormat/>
    <w:uiPriority w:val="0"/>
    <w:rPr>
      <w:rFonts w:ascii="宋体" w:hAnsi="Courier New" w:eastAsia="宋体" w:cs="Courier New"/>
      <w:szCs w:val="21"/>
    </w:rPr>
  </w:style>
  <w:style w:type="paragraph" w:customStyle="1" w:styleId="128">
    <w:name w:val="3eee"/>
    <w:basedOn w:val="1"/>
    <w:link w:val="129"/>
    <w:qFormat/>
    <w:uiPriority w:val="0"/>
    <w:pPr>
      <w:spacing w:line="440" w:lineRule="exact"/>
      <w:ind w:firstLine="480"/>
    </w:pPr>
    <w:rPr>
      <w:rFonts w:ascii="宋体" w:hAnsi="宋体" w:cs="宋体"/>
      <w:szCs w:val="24"/>
    </w:rPr>
  </w:style>
  <w:style w:type="character" w:customStyle="1" w:styleId="129">
    <w:name w:val="3eee Char"/>
    <w:basedOn w:val="91"/>
    <w:link w:val="128"/>
    <w:qFormat/>
    <w:uiPriority w:val="0"/>
    <w:rPr>
      <w:rFonts w:ascii="宋体" w:hAnsi="宋体" w:eastAsia="宋体" w:cs="宋体"/>
      <w:sz w:val="24"/>
      <w:szCs w:val="24"/>
    </w:rPr>
  </w:style>
  <w:style w:type="paragraph" w:customStyle="1" w:styleId="130">
    <w:name w:val="样式 标题 32eee + 宋体 小四 行距: 1.5 倍行距"/>
    <w:basedOn w:val="5"/>
    <w:qFormat/>
    <w:uiPriority w:val="0"/>
    <w:pPr>
      <w:spacing w:before="120" w:beforeLines="0" w:after="120" w:afterLines="0"/>
      <w:ind w:hanging="284"/>
    </w:pPr>
    <w:rPr>
      <w:rFonts w:ascii="宋体" w:hAnsi="宋体" w:cs="宋体"/>
      <w:b/>
      <w:color w:val="auto"/>
      <w:sz w:val="24"/>
      <w:szCs w:val="20"/>
    </w:rPr>
  </w:style>
  <w:style w:type="paragraph" w:customStyle="1" w:styleId="131">
    <w:name w:val="样式 首行缩进:  0.85 厘米"/>
    <w:basedOn w:val="1"/>
    <w:link w:val="132"/>
    <w:qFormat/>
    <w:uiPriority w:val="99"/>
    <w:pPr>
      <w:ind w:firstLine="482" w:firstLineChars="0"/>
    </w:pPr>
    <w:rPr>
      <w:rFonts w:cs="宋体"/>
      <w:szCs w:val="20"/>
    </w:rPr>
  </w:style>
  <w:style w:type="character" w:customStyle="1" w:styleId="132">
    <w:name w:val="样式 首行缩进:  0.85 厘米 Char"/>
    <w:basedOn w:val="91"/>
    <w:link w:val="131"/>
    <w:qFormat/>
    <w:uiPriority w:val="99"/>
    <w:rPr>
      <w:rFonts w:ascii="Times New Roman" w:hAnsi="Times New Roman" w:eastAsia="宋体" w:cs="宋体"/>
      <w:sz w:val="24"/>
      <w:szCs w:val="20"/>
    </w:rPr>
  </w:style>
  <w:style w:type="paragraph" w:customStyle="1" w:styleId="133">
    <w:name w:val="工可正文"/>
    <w:basedOn w:val="1"/>
    <w:link w:val="147"/>
    <w:qFormat/>
    <w:uiPriority w:val="0"/>
    <w:pPr>
      <w:autoSpaceDE w:val="0"/>
      <w:autoSpaceDN w:val="0"/>
      <w:ind w:firstLine="480"/>
      <w:jc w:val="left"/>
    </w:pPr>
    <w:rPr>
      <w:rFonts w:cs="Times New Roman"/>
      <w:kern w:val="0"/>
      <w:szCs w:val="24"/>
    </w:rPr>
  </w:style>
  <w:style w:type="paragraph" w:customStyle="1" w:styleId="134">
    <w:name w:val="表格文字"/>
    <w:basedOn w:val="1"/>
    <w:qFormat/>
    <w:uiPriority w:val="0"/>
    <w:pPr>
      <w:spacing w:line="240" w:lineRule="auto"/>
      <w:ind w:firstLine="0" w:firstLineChars="0"/>
      <w:jc w:val="center"/>
    </w:pPr>
    <w:rPr>
      <w:rFonts w:cs="宋体"/>
      <w:bCs/>
      <w:kern w:val="0"/>
      <w:sz w:val="21"/>
      <w:szCs w:val="21"/>
    </w:rPr>
  </w:style>
  <w:style w:type="paragraph" w:customStyle="1" w:styleId="135">
    <w:name w:val="表名"/>
    <w:basedOn w:val="1"/>
    <w:qFormat/>
    <w:uiPriority w:val="0"/>
    <w:pPr>
      <w:adjustRightInd w:val="0"/>
      <w:spacing w:beforeLines="50" w:after="100" w:afterAutospacing="1"/>
      <w:ind w:firstLine="0" w:firstLineChars="0"/>
      <w:jc w:val="center"/>
    </w:pPr>
    <w:rPr>
      <w:rFonts w:ascii="Calibri" w:hAnsi="Calibri" w:eastAsia="黑体" w:cs="Calibri"/>
      <w:b/>
      <w:color w:val="000000"/>
      <w:kern w:val="22"/>
      <w:szCs w:val="24"/>
    </w:rPr>
  </w:style>
  <w:style w:type="paragraph" w:customStyle="1" w:styleId="136">
    <w:name w:val="1）"/>
    <w:basedOn w:val="1"/>
    <w:link w:val="137"/>
    <w:qFormat/>
    <w:uiPriority w:val="0"/>
    <w:pPr>
      <w:numPr>
        <w:ilvl w:val="0"/>
        <w:numId w:val="14"/>
      </w:numPr>
      <w:ind w:firstLine="200"/>
    </w:pPr>
    <w:rPr>
      <w:rFonts w:cs="Times New Roman"/>
      <w:sz w:val="28"/>
    </w:rPr>
  </w:style>
  <w:style w:type="character" w:customStyle="1" w:styleId="137">
    <w:name w:val="1） 字符"/>
    <w:link w:val="136"/>
    <w:qFormat/>
    <w:uiPriority w:val="0"/>
    <w:rPr>
      <w:rFonts w:ascii="Times New Roman" w:hAnsi="Times New Roman" w:eastAsia="宋体" w:cs="Times New Roman"/>
      <w:sz w:val="28"/>
    </w:rPr>
  </w:style>
  <w:style w:type="paragraph" w:customStyle="1" w:styleId="138">
    <w:name w:val="图片名"/>
    <w:basedOn w:val="1"/>
    <w:link w:val="139"/>
    <w:qFormat/>
    <w:uiPriority w:val="0"/>
    <w:pPr>
      <w:spacing w:line="240" w:lineRule="auto"/>
      <w:ind w:firstLine="0" w:firstLineChars="0"/>
      <w:jc w:val="center"/>
    </w:pPr>
    <w:rPr>
      <w:rFonts w:cs="Times New Roman"/>
      <w:b/>
      <w:color w:val="3366FF"/>
      <w:bdr w:val="single" w:color="FF0000" w:sz="4" w:space="0"/>
    </w:rPr>
  </w:style>
  <w:style w:type="character" w:customStyle="1" w:styleId="139">
    <w:name w:val="图片名 字符"/>
    <w:link w:val="138"/>
    <w:qFormat/>
    <w:uiPriority w:val="0"/>
    <w:rPr>
      <w:rFonts w:ascii="Times New Roman" w:hAnsi="Times New Roman" w:eastAsia="宋体" w:cs="Times New Roman"/>
      <w:b/>
      <w:color w:val="3366FF"/>
      <w:sz w:val="24"/>
      <w:bdr w:val="single" w:color="FF0000" w:sz="4" w:space="0"/>
    </w:rPr>
  </w:style>
  <w:style w:type="character" w:customStyle="1" w:styleId="140">
    <w:name w:val="标题 5 字符"/>
    <w:basedOn w:val="91"/>
    <w:link w:val="7"/>
    <w:qFormat/>
    <w:uiPriority w:val="0"/>
    <w:rPr>
      <w:rFonts w:ascii="宋体" w:hAnsi="Times New Roman" w:eastAsia="宋体" w:cs="Times New Roman"/>
      <w:b/>
      <w:spacing w:val="10"/>
      <w:kern w:val="0"/>
      <w:sz w:val="28"/>
      <w:szCs w:val="20"/>
    </w:rPr>
  </w:style>
  <w:style w:type="character" w:customStyle="1" w:styleId="141">
    <w:name w:val="标题 7 字符"/>
    <w:basedOn w:val="91"/>
    <w:link w:val="10"/>
    <w:qFormat/>
    <w:uiPriority w:val="0"/>
    <w:rPr>
      <w:rFonts w:ascii="宋体" w:hAnsi="Times New Roman" w:eastAsia="宋体" w:cs="Times New Roman"/>
      <w:b/>
      <w:spacing w:val="10"/>
      <w:kern w:val="0"/>
      <w:sz w:val="24"/>
      <w:szCs w:val="20"/>
    </w:rPr>
  </w:style>
  <w:style w:type="character" w:customStyle="1" w:styleId="142">
    <w:name w:val="标题 8 字符"/>
    <w:basedOn w:val="91"/>
    <w:link w:val="11"/>
    <w:qFormat/>
    <w:uiPriority w:val="0"/>
    <w:rPr>
      <w:rFonts w:ascii="Arial" w:hAnsi="Arial" w:eastAsia="黑体" w:cs="Times New Roman"/>
      <w:spacing w:val="10"/>
      <w:kern w:val="0"/>
      <w:sz w:val="24"/>
      <w:szCs w:val="20"/>
    </w:rPr>
  </w:style>
  <w:style w:type="character" w:customStyle="1" w:styleId="143">
    <w:name w:val="标题 9 字符"/>
    <w:basedOn w:val="91"/>
    <w:link w:val="12"/>
    <w:qFormat/>
    <w:uiPriority w:val="0"/>
    <w:rPr>
      <w:rFonts w:ascii="Arial" w:hAnsi="Arial" w:eastAsia="宋体" w:cs="Times New Roman"/>
      <w:b/>
      <w:spacing w:val="10"/>
      <w:kern w:val="0"/>
      <w:sz w:val="28"/>
      <w:szCs w:val="20"/>
    </w:rPr>
  </w:style>
  <w:style w:type="paragraph" w:customStyle="1" w:styleId="144">
    <w:name w:val="TOC 标题1"/>
    <w:basedOn w:val="3"/>
    <w:next w:val="1"/>
    <w:unhideWhenUsed/>
    <w:qFormat/>
    <w:uiPriority w:val="39"/>
    <w:pPr>
      <w:widowControl/>
      <w:numPr>
        <w:numId w:val="2"/>
      </w:numPr>
      <w:spacing w:before="240" w:after="0" w:line="259" w:lineRule="auto"/>
      <w:jc w:val="left"/>
      <w:outlineLvl w:val="9"/>
    </w:pPr>
    <w:rPr>
      <w:rFonts w:asciiTheme="majorHAnsi" w:hAnsiTheme="majorHAnsi" w:eastAsiaTheme="majorEastAsia" w:cstheme="majorBidi"/>
      <w:b w:val="0"/>
      <w:bCs w:val="0"/>
      <w:color w:val="2F5496" w:themeColor="accent1" w:themeShade="BF"/>
      <w:kern w:val="0"/>
      <w:szCs w:val="32"/>
    </w:rPr>
  </w:style>
  <w:style w:type="paragraph" w:customStyle="1" w:styleId="145">
    <w:name w:val="样式 标题 3(F4) + 两端对齐 段前: 13 磅 段后: 13 磅"/>
    <w:basedOn w:val="5"/>
    <w:qFormat/>
    <w:uiPriority w:val="0"/>
    <w:pPr>
      <w:numPr>
        <w:numId w:val="2"/>
      </w:numPr>
      <w:tabs>
        <w:tab w:val="left" w:pos="0"/>
      </w:tabs>
      <w:spacing w:before="0" w:beforeLines="0" w:after="0" w:afterLines="0" w:line="240" w:lineRule="auto"/>
      <w:ind w:firstLine="200"/>
    </w:pPr>
    <w:rPr>
      <w:rFonts w:eastAsia="黑体" w:cs="宋体"/>
      <w:b/>
      <w:bCs w:val="0"/>
      <w:color w:val="auto"/>
      <w:sz w:val="21"/>
      <w:szCs w:val="21"/>
    </w:rPr>
  </w:style>
  <w:style w:type="paragraph" w:customStyle="1" w:styleId="146">
    <w:name w:val="广梧－节"/>
    <w:basedOn w:val="4"/>
    <w:qFormat/>
    <w:uiPriority w:val="0"/>
    <w:pPr>
      <w:numPr>
        <w:numId w:val="2"/>
      </w:numPr>
      <w:tabs>
        <w:tab w:val="left" w:pos="960"/>
      </w:tabs>
      <w:spacing w:before="260" w:after="260"/>
      <w:ind w:left="960" w:hanging="960"/>
    </w:pPr>
    <w:rPr>
      <w:rFonts w:eastAsia="黑体" w:cs="Times New Roman"/>
      <w:b w:val="0"/>
      <w:bCs w:val="0"/>
      <w:color w:val="auto"/>
      <w:sz w:val="24"/>
    </w:rPr>
  </w:style>
  <w:style w:type="character" w:customStyle="1" w:styleId="147">
    <w:name w:val="工可正文 Char"/>
    <w:link w:val="133"/>
    <w:qFormat/>
    <w:uiPriority w:val="0"/>
    <w:rPr>
      <w:rFonts w:ascii="Times New Roman" w:hAnsi="Times New Roman" w:eastAsia="宋体" w:cs="Times New Roman"/>
      <w:kern w:val="0"/>
      <w:sz w:val="24"/>
      <w:szCs w:val="24"/>
    </w:rPr>
  </w:style>
  <w:style w:type="paragraph" w:customStyle="1" w:styleId="148">
    <w:name w:val="样式 标题 2标题 1.1SeHead wsa2节H2Chapter TitleChapter节标题 1.1h..."/>
    <w:basedOn w:val="4"/>
    <w:qFormat/>
    <w:uiPriority w:val="0"/>
    <w:pPr>
      <w:numPr>
        <w:ilvl w:val="0"/>
        <w:numId w:val="0"/>
      </w:numPr>
      <w:spacing w:before="240" w:beforeLines="0" w:after="240" w:afterLines="0"/>
    </w:pPr>
    <w:rPr>
      <w:rFonts w:ascii="宋体" w:hAnsi="宋体" w:cs="宋体"/>
      <w:color w:val="auto"/>
      <w:sz w:val="28"/>
      <w:szCs w:val="20"/>
    </w:rPr>
  </w:style>
  <w:style w:type="character" w:customStyle="1" w:styleId="149">
    <w:name w:val="未处理的提及1"/>
    <w:basedOn w:val="91"/>
    <w:semiHidden/>
    <w:unhideWhenUsed/>
    <w:qFormat/>
    <w:uiPriority w:val="99"/>
    <w:rPr>
      <w:color w:val="605E5C"/>
      <w:shd w:val="clear" w:color="auto" w:fill="E1DFDD"/>
    </w:rPr>
  </w:style>
  <w:style w:type="character" w:customStyle="1" w:styleId="150">
    <w:name w:val="副标题 字符"/>
    <w:basedOn w:val="91"/>
    <w:link w:val="64"/>
    <w:qFormat/>
    <w:uiPriority w:val="11"/>
    <w:rPr>
      <w:rFonts w:ascii="等线 Light" w:hAnsi="等线 Light" w:eastAsia="宋体" w:cs="Times New Roman"/>
      <w:bCs/>
      <w:kern w:val="28"/>
      <w:szCs w:val="32"/>
    </w:rPr>
  </w:style>
  <w:style w:type="character" w:customStyle="1" w:styleId="151">
    <w:name w:val="HTML 地址 字符"/>
    <w:basedOn w:val="91"/>
    <w:link w:val="41"/>
    <w:semiHidden/>
    <w:qFormat/>
    <w:uiPriority w:val="99"/>
    <w:rPr>
      <w:rFonts w:ascii="Times New Roman" w:hAnsi="Times New Roman" w:eastAsia="宋体"/>
      <w:i/>
      <w:iCs/>
      <w:sz w:val="24"/>
    </w:rPr>
  </w:style>
  <w:style w:type="character" w:customStyle="1" w:styleId="152">
    <w:name w:val="HTML 预设格式 字符"/>
    <w:basedOn w:val="91"/>
    <w:link w:val="80"/>
    <w:semiHidden/>
    <w:qFormat/>
    <w:uiPriority w:val="99"/>
    <w:rPr>
      <w:rFonts w:ascii="Courier New" w:hAnsi="Courier New" w:eastAsia="宋体" w:cs="Courier New"/>
      <w:sz w:val="20"/>
      <w:szCs w:val="20"/>
    </w:rPr>
  </w:style>
  <w:style w:type="character" w:customStyle="1" w:styleId="153">
    <w:name w:val="标题 字符"/>
    <w:basedOn w:val="91"/>
    <w:link w:val="84"/>
    <w:qFormat/>
    <w:uiPriority w:val="10"/>
    <w:rPr>
      <w:rFonts w:asciiTheme="majorHAnsi" w:hAnsiTheme="majorHAnsi" w:eastAsiaTheme="majorEastAsia" w:cstheme="majorBidi"/>
      <w:b/>
      <w:bCs/>
      <w:sz w:val="32"/>
      <w:szCs w:val="32"/>
    </w:rPr>
  </w:style>
  <w:style w:type="character" w:customStyle="1" w:styleId="154">
    <w:name w:val="称呼 字符"/>
    <w:basedOn w:val="91"/>
    <w:link w:val="30"/>
    <w:semiHidden/>
    <w:qFormat/>
    <w:uiPriority w:val="99"/>
    <w:rPr>
      <w:rFonts w:ascii="Times New Roman" w:hAnsi="Times New Roman" w:eastAsia="宋体"/>
      <w:sz w:val="24"/>
    </w:rPr>
  </w:style>
  <w:style w:type="character" w:customStyle="1" w:styleId="155">
    <w:name w:val="电子邮件签名 字符"/>
    <w:basedOn w:val="91"/>
    <w:link w:val="20"/>
    <w:semiHidden/>
    <w:qFormat/>
    <w:uiPriority w:val="99"/>
    <w:rPr>
      <w:rFonts w:ascii="Times New Roman" w:hAnsi="Times New Roman" w:eastAsia="宋体"/>
      <w:sz w:val="24"/>
    </w:rPr>
  </w:style>
  <w:style w:type="character" w:customStyle="1" w:styleId="156">
    <w:name w:val="宏文本 字符"/>
    <w:basedOn w:val="91"/>
    <w:link w:val="2"/>
    <w:semiHidden/>
    <w:qFormat/>
    <w:uiPriority w:val="99"/>
    <w:rPr>
      <w:rFonts w:ascii="Courier New" w:hAnsi="Courier New" w:eastAsia="宋体" w:cs="Courier New"/>
      <w:sz w:val="24"/>
      <w:szCs w:val="24"/>
    </w:rPr>
  </w:style>
  <w:style w:type="character" w:customStyle="1" w:styleId="157">
    <w:name w:val="脚注文本 字符"/>
    <w:basedOn w:val="91"/>
    <w:link w:val="67"/>
    <w:semiHidden/>
    <w:qFormat/>
    <w:uiPriority w:val="99"/>
    <w:rPr>
      <w:rFonts w:ascii="Times New Roman" w:hAnsi="Times New Roman" w:eastAsia="宋体"/>
      <w:sz w:val="18"/>
      <w:szCs w:val="18"/>
    </w:rPr>
  </w:style>
  <w:style w:type="character" w:customStyle="1" w:styleId="158">
    <w:name w:val="结束语 字符"/>
    <w:basedOn w:val="91"/>
    <w:link w:val="32"/>
    <w:semiHidden/>
    <w:qFormat/>
    <w:uiPriority w:val="99"/>
    <w:rPr>
      <w:rFonts w:ascii="Times New Roman" w:hAnsi="Times New Roman" w:eastAsia="宋体"/>
      <w:sz w:val="24"/>
    </w:rPr>
  </w:style>
  <w:style w:type="paragraph" w:styleId="159">
    <w:name w:val="Intense Quote"/>
    <w:basedOn w:val="1"/>
    <w:next w:val="1"/>
    <w:link w:val="160"/>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rPr>
  </w:style>
  <w:style w:type="character" w:customStyle="1" w:styleId="160">
    <w:name w:val="明显引用 字符"/>
    <w:basedOn w:val="91"/>
    <w:link w:val="159"/>
    <w:qFormat/>
    <w:uiPriority w:val="30"/>
    <w:rPr>
      <w:rFonts w:ascii="Times New Roman" w:hAnsi="Times New Roman" w:eastAsia="宋体"/>
      <w:i/>
      <w:iCs/>
      <w:color w:val="4472C4" w:themeColor="accent1"/>
      <w:sz w:val="24"/>
    </w:rPr>
  </w:style>
  <w:style w:type="character" w:customStyle="1" w:styleId="161">
    <w:name w:val="签名 字符"/>
    <w:basedOn w:val="91"/>
    <w:link w:val="58"/>
    <w:semiHidden/>
    <w:qFormat/>
    <w:uiPriority w:val="99"/>
    <w:rPr>
      <w:rFonts w:ascii="Times New Roman" w:hAnsi="Times New Roman" w:eastAsia="宋体"/>
      <w:sz w:val="24"/>
    </w:rPr>
  </w:style>
  <w:style w:type="character" w:customStyle="1" w:styleId="162">
    <w:name w:val="日期 字符"/>
    <w:basedOn w:val="91"/>
    <w:link w:val="50"/>
    <w:semiHidden/>
    <w:qFormat/>
    <w:uiPriority w:val="99"/>
    <w:rPr>
      <w:rFonts w:ascii="Times New Roman" w:hAnsi="Times New Roman" w:eastAsia="宋体"/>
      <w:sz w:val="24"/>
    </w:rPr>
  </w:style>
  <w:style w:type="paragraph" w:customStyle="1" w:styleId="163">
    <w:name w:val="Bibliography"/>
    <w:basedOn w:val="1"/>
    <w:next w:val="1"/>
    <w:semiHidden/>
    <w:unhideWhenUsed/>
    <w:qFormat/>
    <w:uiPriority w:val="37"/>
  </w:style>
  <w:style w:type="character" w:customStyle="1" w:styleId="164">
    <w:name w:val="尾注文本 字符"/>
    <w:basedOn w:val="91"/>
    <w:link w:val="52"/>
    <w:semiHidden/>
    <w:qFormat/>
    <w:uiPriority w:val="99"/>
    <w:rPr>
      <w:rFonts w:ascii="Times New Roman" w:hAnsi="Times New Roman" w:eastAsia="宋体"/>
      <w:sz w:val="24"/>
    </w:rPr>
  </w:style>
  <w:style w:type="character" w:customStyle="1" w:styleId="165">
    <w:name w:val="文档结构图 字符"/>
    <w:basedOn w:val="91"/>
    <w:link w:val="26"/>
    <w:semiHidden/>
    <w:qFormat/>
    <w:uiPriority w:val="99"/>
    <w:rPr>
      <w:rFonts w:ascii="Microsoft YaHei UI" w:hAnsi="Times New Roman" w:eastAsia="Microsoft YaHei UI"/>
      <w:sz w:val="18"/>
      <w:szCs w:val="18"/>
    </w:rPr>
  </w:style>
  <w:style w:type="paragraph" w:styleId="166">
    <w:name w:val="No Spacing"/>
    <w:qFormat/>
    <w:uiPriority w:val="1"/>
    <w:pPr>
      <w:widowControl w:val="0"/>
      <w:ind w:firstLine="200" w:firstLineChars="200"/>
      <w:jc w:val="both"/>
    </w:pPr>
    <w:rPr>
      <w:rFonts w:ascii="Times New Roman" w:hAnsi="Times New Roman" w:eastAsia="宋体" w:cstheme="minorBidi"/>
      <w:kern w:val="2"/>
      <w:sz w:val="24"/>
      <w:szCs w:val="22"/>
      <w:lang w:val="en-US" w:eastAsia="zh-CN" w:bidi="ar-SA"/>
    </w:rPr>
  </w:style>
  <w:style w:type="character" w:customStyle="1" w:styleId="167">
    <w:name w:val="信息标题 字符"/>
    <w:basedOn w:val="91"/>
    <w:link w:val="79"/>
    <w:semiHidden/>
    <w:qFormat/>
    <w:uiPriority w:val="99"/>
    <w:rPr>
      <w:rFonts w:asciiTheme="majorHAnsi" w:hAnsiTheme="majorHAnsi" w:eastAsiaTheme="majorEastAsia" w:cstheme="majorBidi"/>
      <w:sz w:val="24"/>
      <w:szCs w:val="24"/>
      <w:shd w:val="pct20" w:color="auto" w:fill="auto"/>
    </w:rPr>
  </w:style>
  <w:style w:type="paragraph" w:styleId="168">
    <w:name w:val="Quote"/>
    <w:basedOn w:val="1"/>
    <w:next w:val="1"/>
    <w:link w:val="169"/>
    <w:qFormat/>
    <w:uiPriority w:val="29"/>
    <w:pPr>
      <w:spacing w:before="200" w:after="160"/>
      <w:ind w:left="864" w:right="864"/>
      <w:jc w:val="center"/>
    </w:pPr>
    <w:rPr>
      <w:i/>
      <w:iCs/>
      <w:color w:val="3F3F3F" w:themeColor="text1" w:themeTint="BF"/>
    </w:rPr>
  </w:style>
  <w:style w:type="character" w:customStyle="1" w:styleId="169">
    <w:name w:val="引用 字符"/>
    <w:basedOn w:val="91"/>
    <w:link w:val="168"/>
    <w:qFormat/>
    <w:uiPriority w:val="29"/>
    <w:rPr>
      <w:rFonts w:ascii="Times New Roman" w:hAnsi="Times New Roman" w:eastAsia="宋体"/>
      <w:i/>
      <w:iCs/>
      <w:color w:val="3F3F3F" w:themeColor="text1" w:themeTint="BF"/>
      <w:sz w:val="24"/>
    </w:rPr>
  </w:style>
  <w:style w:type="character" w:customStyle="1" w:styleId="170">
    <w:name w:val="正文文本 2 字符"/>
    <w:basedOn w:val="91"/>
    <w:link w:val="76"/>
    <w:semiHidden/>
    <w:qFormat/>
    <w:uiPriority w:val="99"/>
    <w:rPr>
      <w:rFonts w:ascii="Times New Roman" w:hAnsi="Times New Roman" w:eastAsia="宋体"/>
      <w:sz w:val="24"/>
    </w:rPr>
  </w:style>
  <w:style w:type="character" w:customStyle="1" w:styleId="171">
    <w:name w:val="正文文本 3 字符"/>
    <w:basedOn w:val="91"/>
    <w:link w:val="31"/>
    <w:semiHidden/>
    <w:qFormat/>
    <w:uiPriority w:val="99"/>
    <w:rPr>
      <w:rFonts w:ascii="Times New Roman" w:hAnsi="Times New Roman" w:eastAsia="宋体"/>
      <w:sz w:val="16"/>
      <w:szCs w:val="16"/>
    </w:rPr>
  </w:style>
  <w:style w:type="character" w:customStyle="1" w:styleId="172">
    <w:name w:val="正文文本首行缩进 字符"/>
    <w:basedOn w:val="120"/>
    <w:link w:val="86"/>
    <w:semiHidden/>
    <w:qFormat/>
    <w:uiPriority w:val="99"/>
    <w:rPr>
      <w:rFonts w:ascii="Times New Roman" w:hAnsi="Times New Roman" w:eastAsia="宋体" w:cs="Times New Roman"/>
      <w:spacing w:val="-4"/>
      <w:kern w:val="0"/>
      <w:sz w:val="24"/>
      <w:szCs w:val="20"/>
    </w:rPr>
  </w:style>
  <w:style w:type="character" w:customStyle="1" w:styleId="173">
    <w:name w:val="正文文本缩进 字符"/>
    <w:basedOn w:val="91"/>
    <w:link w:val="35"/>
    <w:semiHidden/>
    <w:qFormat/>
    <w:uiPriority w:val="99"/>
    <w:rPr>
      <w:rFonts w:ascii="Times New Roman" w:hAnsi="Times New Roman" w:eastAsia="宋体"/>
      <w:sz w:val="24"/>
    </w:rPr>
  </w:style>
  <w:style w:type="character" w:customStyle="1" w:styleId="174">
    <w:name w:val="正文文本首行缩进 2 字符"/>
    <w:basedOn w:val="173"/>
    <w:link w:val="87"/>
    <w:semiHidden/>
    <w:qFormat/>
    <w:uiPriority w:val="99"/>
    <w:rPr>
      <w:rFonts w:ascii="Times New Roman" w:hAnsi="Times New Roman" w:eastAsia="宋体"/>
      <w:sz w:val="24"/>
    </w:rPr>
  </w:style>
  <w:style w:type="character" w:customStyle="1" w:styleId="175">
    <w:name w:val="正文文本缩进 2 字符"/>
    <w:basedOn w:val="91"/>
    <w:link w:val="51"/>
    <w:semiHidden/>
    <w:qFormat/>
    <w:uiPriority w:val="99"/>
    <w:rPr>
      <w:rFonts w:ascii="Times New Roman" w:hAnsi="Times New Roman" w:eastAsia="宋体"/>
      <w:sz w:val="24"/>
    </w:rPr>
  </w:style>
  <w:style w:type="character" w:customStyle="1" w:styleId="176">
    <w:name w:val="正文文本缩进 3 字符"/>
    <w:basedOn w:val="91"/>
    <w:link w:val="70"/>
    <w:semiHidden/>
    <w:qFormat/>
    <w:uiPriority w:val="99"/>
    <w:rPr>
      <w:rFonts w:ascii="Times New Roman" w:hAnsi="Times New Roman" w:eastAsia="宋体"/>
      <w:sz w:val="16"/>
      <w:szCs w:val="16"/>
    </w:rPr>
  </w:style>
  <w:style w:type="character" w:customStyle="1" w:styleId="177">
    <w:name w:val="注释标题 字符"/>
    <w:basedOn w:val="91"/>
    <w:link w:val="17"/>
    <w:semiHidden/>
    <w:qFormat/>
    <w:uiPriority w:val="99"/>
    <w:rPr>
      <w:rFonts w:ascii="Times New Roman" w:hAnsi="Times New Roman" w:eastAsia="宋体"/>
      <w:sz w:val="24"/>
    </w:rPr>
  </w:style>
  <w:style w:type="character" w:customStyle="1" w:styleId="178">
    <w:name w:val="（1） 字符1"/>
    <w:qFormat/>
    <w:uiPriority w:val="0"/>
    <w:rPr>
      <w:rFonts w:ascii="Times New Roman" w:hAnsi="Times New Roman" w:eastAsia="宋体" w:cs="Times New Roman"/>
      <w:sz w:val="28"/>
    </w:rPr>
  </w:style>
  <w:style w:type="character" w:customStyle="1" w:styleId="179">
    <w:name w:val="说明正文 Char"/>
    <w:link w:val="180"/>
    <w:qFormat/>
    <w:uiPriority w:val="0"/>
    <w:rPr>
      <w:rFonts w:ascii="宋体" w:hAnsi="宋体"/>
      <w:sz w:val="24"/>
      <w:szCs w:val="28"/>
    </w:rPr>
  </w:style>
  <w:style w:type="paragraph" w:customStyle="1" w:styleId="180">
    <w:name w:val="说明正文"/>
    <w:basedOn w:val="57"/>
    <w:next w:val="1"/>
    <w:link w:val="179"/>
    <w:qFormat/>
    <w:uiPriority w:val="0"/>
    <w:pPr>
      <w:pBdr>
        <w:bottom w:val="none" w:color="auto" w:sz="0" w:space="0"/>
      </w:pBdr>
      <w:tabs>
        <w:tab w:val="clear" w:pos="4153"/>
        <w:tab w:val="clear" w:pos="8306"/>
      </w:tabs>
      <w:snapToGrid/>
      <w:spacing w:line="360" w:lineRule="auto"/>
      <w:ind w:firstLine="480" w:firstLineChars="0"/>
      <w:jc w:val="both"/>
    </w:pPr>
    <w:rPr>
      <w:rFonts w:ascii="宋体" w:hAnsi="宋体" w:eastAsiaTheme="minorEastAsia"/>
      <w:sz w:val="24"/>
      <w:szCs w:val="28"/>
    </w:rPr>
  </w:style>
  <w:style w:type="character" w:customStyle="1" w:styleId="181">
    <w:name w:val="纯文本 Char"/>
    <w:qFormat/>
    <w:uiPriority w:val="0"/>
    <w:rPr>
      <w:rFonts w:ascii="宋体" w:hAnsi="Courier New"/>
      <w:kern w:val="2"/>
      <w:sz w:val="24"/>
    </w:rPr>
  </w:style>
  <w:style w:type="character" w:customStyle="1" w:styleId="182">
    <w:name w:val="表格标题栏 Char"/>
    <w:link w:val="183"/>
    <w:qFormat/>
    <w:uiPriority w:val="0"/>
    <w:rPr>
      <w:rFonts w:ascii="微软雅黑" w:hAnsi="微软雅黑"/>
      <w:sz w:val="24"/>
      <w:szCs w:val="24"/>
    </w:rPr>
  </w:style>
  <w:style w:type="paragraph" w:customStyle="1" w:styleId="183">
    <w:name w:val="表格标题栏"/>
    <w:basedOn w:val="1"/>
    <w:link w:val="182"/>
    <w:qFormat/>
    <w:uiPriority w:val="0"/>
    <w:pPr>
      <w:autoSpaceDE w:val="0"/>
      <w:autoSpaceDN w:val="0"/>
      <w:adjustRightInd w:val="0"/>
      <w:spacing w:line="241" w:lineRule="atLeast"/>
      <w:ind w:firstLine="0" w:firstLineChars="0"/>
      <w:jc w:val="center"/>
    </w:pPr>
    <w:rPr>
      <w:rFonts w:ascii="微软雅黑" w:hAnsi="微软雅黑" w:eastAsiaTheme="minorEastAsia"/>
      <w:szCs w:val="24"/>
    </w:rPr>
  </w:style>
  <w:style w:type="paragraph" w:customStyle="1" w:styleId="184">
    <w:name w:val="Default"/>
    <w:qFormat/>
    <w:uiPriority w:val="0"/>
    <w:pPr>
      <w:widowControl w:val="0"/>
      <w:autoSpaceDE w:val="0"/>
      <w:autoSpaceDN w:val="0"/>
      <w:adjustRightInd w:val="0"/>
    </w:pPr>
    <w:rPr>
      <w:rFonts w:ascii="宋体" w:hAnsi="Calibri" w:eastAsia="宋体" w:cs="宋体"/>
      <w:color w:val="000000"/>
      <w:kern w:val="0"/>
      <w:sz w:val="24"/>
      <w:szCs w:val="24"/>
      <w:lang w:val="en-US" w:eastAsia="zh-CN" w:bidi="ar-SA"/>
    </w:rPr>
  </w:style>
  <w:style w:type="paragraph" w:customStyle="1" w:styleId="185">
    <w:name w:val="00图表名"/>
    <w:basedOn w:val="1"/>
    <w:qFormat/>
    <w:uiPriority w:val="0"/>
    <w:pPr>
      <w:widowControl w:val="0"/>
      <w:spacing w:line="360" w:lineRule="auto"/>
      <w:jc w:val="center"/>
    </w:pPr>
    <w:rPr>
      <w:rFonts w:hAnsi="宋体"/>
      <w:sz w:val="20"/>
      <w:szCs w:val="21"/>
      <w:lang w:eastAsia="zh-CN" w:bidi="ar-SA"/>
    </w:rPr>
  </w:style>
  <w:style w:type="paragraph" w:customStyle="1" w:styleId="186">
    <w:name w:val="Char Char Char Char Char Char2 Char"/>
    <w:basedOn w:val="1"/>
    <w:qFormat/>
    <w:uiPriority w:val="0"/>
    <w:pPr>
      <w:spacing w:line="360" w:lineRule="auto"/>
      <w:ind w:firstLine="200" w:firstLineChars="200"/>
    </w:pPr>
    <w:rPr>
      <w:rFonts w:ascii="宋体" w:hAnsi="宋体" w:cs="宋体"/>
    </w:rPr>
  </w:style>
  <w:style w:type="paragraph" w:customStyle="1" w:styleId="187">
    <w:name w:val="样式 样式 样式 样式 样式 样式 宋体 两端对齐 图案: 清除 (白色) 行距: 1.5 倍行距 首行缩进:  2.5 字符 ..."/>
    <w:basedOn w:val="188"/>
    <w:qFormat/>
    <w:uiPriority w:val="0"/>
  </w:style>
  <w:style w:type="paragraph" w:customStyle="1" w:styleId="188">
    <w:name w:val="样式 样式 样式 样式 样式 宋体 两端对齐 图案: 清除 (白色) 行距: 1.5 倍行距 首行缩进:  2.5 字符 + 首..."/>
    <w:basedOn w:val="189"/>
    <w:qFormat/>
    <w:uiPriority w:val="0"/>
  </w:style>
  <w:style w:type="paragraph" w:customStyle="1" w:styleId="189">
    <w:name w:val="样式 样式 样式 样式 宋体 两端对齐 图案: 清除 (白色) 行距: 1.5 倍行距 首行缩进:  2.5 字符 + 首行缩进..."/>
    <w:basedOn w:val="190"/>
    <w:qFormat/>
    <w:uiPriority w:val="0"/>
  </w:style>
  <w:style w:type="paragraph" w:customStyle="1" w:styleId="190">
    <w:name w:val="样式 样式 样式 宋体 两端对齐 图案: 清除 (白色) 行距: 1.5 倍行距 首行缩进:  2.5 字符 + 首行缩进:  ..."/>
    <w:basedOn w:val="191"/>
    <w:qFormat/>
    <w:uiPriority w:val="0"/>
  </w:style>
  <w:style w:type="paragraph" w:customStyle="1" w:styleId="191">
    <w:name w:val="样式 样式 宋体 两端对齐 图案: 清除 (白色) 行距: 1.5 倍行距 首行缩进:  2.5 字符 + 首行缩进:  2 字符"/>
    <w:basedOn w:val="192"/>
    <w:qFormat/>
    <w:uiPriority w:val="0"/>
    <w:pPr>
      <w:spacing w:line="312" w:lineRule="auto"/>
    </w:pPr>
  </w:style>
  <w:style w:type="paragraph" w:customStyle="1" w:styleId="192">
    <w:name w:val="样式 宋体 两端对齐 图案: 清除 (白色) 行距: 1.5 倍行距 首行缩进:  2.5 字符"/>
    <w:basedOn w:val="1"/>
    <w:qFormat/>
    <w:uiPriority w:val="0"/>
    <w:pPr>
      <w:ind w:firstLine="200" w:firstLineChars="200"/>
    </w:pPr>
    <w:rPr>
      <w:rFonts w:ascii="宋体" w:hAnsi="宋体" w:cs="宋体"/>
      <w:kern w:val="2"/>
      <w:szCs w:val="20"/>
      <w:shd w:val="clear" w:color="auto" w:fill="FFFFFF"/>
    </w:rPr>
  </w:style>
  <w:style w:type="paragraph" w:customStyle="1" w:styleId="193">
    <w:name w:val="样式 宋体 左 行距: 固定值 30 磅"/>
    <w:basedOn w:val="1"/>
    <w:qFormat/>
    <w:uiPriority w:val="0"/>
    <w:pPr>
      <w:spacing w:line="360" w:lineRule="auto"/>
      <w:ind w:firstLine="200" w:firstLineChars="200"/>
      <w:jc w:val="left"/>
    </w:pPr>
    <w:rPr>
      <w:rFonts w:ascii="宋体" w:hAnsi="宋体" w:cs="宋体"/>
      <w:kern w:val="0"/>
      <w:sz w:val="24"/>
      <w:szCs w:val="20"/>
    </w:rPr>
  </w:style>
  <w:style w:type="paragraph" w:customStyle="1" w:styleId="194">
    <w:name w:val="样式 图案: 清除 (白色) 行距: 1.5 倍行距 首行缩进:  2 字符"/>
    <w:basedOn w:val="1"/>
    <w:qFormat/>
    <w:uiPriority w:val="0"/>
    <w:pPr>
      <w:spacing w:line="500" w:lineRule="exact"/>
      <w:ind w:firstLine="200" w:firstLineChars="200"/>
    </w:pPr>
    <w:rPr>
      <w:rFonts w:cs="宋体"/>
      <w:szCs w:val="20"/>
      <w:shd w:val="clear" w:color="auto" w:fill="FFFFFF"/>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jpeg"/><Relationship Id="rId35" Type="http://schemas.openxmlformats.org/officeDocument/2006/relationships/image" Target="media/image17.jpeg"/><Relationship Id="rId34" Type="http://schemas.openxmlformats.org/officeDocument/2006/relationships/image" Target="media/image16.jpeg"/><Relationship Id="rId33" Type="http://schemas.openxmlformats.org/officeDocument/2006/relationships/image" Target="media/image15.jpe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footnotes" Target="footnotes.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4097" textRotate="1"/>
    <customShpInfo spid="_x0000_s4098"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27</Pages>
  <Words>10463</Words>
  <Characters>12152</Characters>
  <Lines>194</Lines>
  <Paragraphs>54</Paragraphs>
  <TotalTime>157</TotalTime>
  <ScaleCrop>false</ScaleCrop>
  <LinksUpToDate>false</LinksUpToDate>
  <CharactersWithSpaces>12535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2021-06-09T12:15:00Z</dcterms:created>
  <dc:creator>PC</dc:creator>
  <cp:lastModifiedBy>WPS_1615093619</cp:lastModifiedBy>
  <cp:lastPrinted>2025-04-09T06:09:00Z</cp:lastPrinted>
  <dcterms:modified xsi:type="dcterms:W3CDTF">2025-04-14T01:42:19Z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B0EAFE7BF6AA4ADDA4E0B6E871F64A15_12</vt:lpwstr>
  </property>
  <property fmtid="{D5CDD505-2E9C-101B-9397-08002B2CF9AE}" pid="4" name="KSOTemplateDocerSaveRecord">
    <vt:lpwstr>eyJoZGlkIjoiNmNjMWIzZTY1ZDM3ZjhiNzQzMGI1M2Y4Yzk4NWRlOTUiLCJ1c2VySWQiOiIxMTY5MDkyNTI1In0=</vt:lpwstr>
  </property>
</Properties>
</file>